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9D8B9">
      <w:pPr>
        <w:keepNext w:val="0"/>
        <w:keepLines w:val="0"/>
        <w:pageBreakBefore w:val="0"/>
        <w:kinsoku/>
        <w:wordWrap/>
        <w:overflowPunct/>
        <w:topLinePunct w:val="0"/>
        <w:autoSpaceDE/>
        <w:autoSpaceDN/>
        <w:bidi w:val="0"/>
        <w:adjustRightInd/>
        <w:snapToGrid/>
        <w:spacing w:before="156" w:beforeLines="50" w:after="156" w:afterLines="50" w:line="560" w:lineRule="exact"/>
        <w:jc w:val="center"/>
        <w:textAlignment w:val="auto"/>
        <w:rPr>
          <w:rFonts w:hint="eastAsia" w:ascii="方正小标宋简体" w:hAnsi="方正小标宋简体" w:eastAsia="方正小标宋简体" w:cs="方正小标宋简体"/>
          <w:b/>
          <w:bCs/>
          <w:color w:val="auto"/>
          <w:sz w:val="44"/>
          <w:szCs w:val="44"/>
          <w:u w:val="none"/>
          <w:lang w:val="en-US" w:eastAsia="zh-CN"/>
        </w:rPr>
      </w:pPr>
      <w:r>
        <w:rPr>
          <w:rFonts w:hint="eastAsia" w:ascii="方正小标宋简体" w:hAnsi="方正小标宋简体" w:eastAsia="方正小标宋简体" w:cs="方正小标宋简体"/>
          <w:b/>
          <w:bCs/>
          <w:color w:val="auto"/>
          <w:sz w:val="44"/>
          <w:szCs w:val="44"/>
          <w:u w:val="none"/>
          <w:lang w:val="en-US" w:eastAsia="zh-CN"/>
        </w:rPr>
        <w:t>湖南司法警官职业学院</w:t>
      </w:r>
    </w:p>
    <w:p w14:paraId="07356B72">
      <w:pPr>
        <w:keepNext w:val="0"/>
        <w:keepLines w:val="0"/>
        <w:pageBreakBefore w:val="0"/>
        <w:kinsoku/>
        <w:wordWrap/>
        <w:overflowPunct/>
        <w:topLinePunct w:val="0"/>
        <w:autoSpaceDE/>
        <w:autoSpaceDN/>
        <w:bidi w:val="0"/>
        <w:adjustRightInd/>
        <w:snapToGrid/>
        <w:spacing w:before="156" w:beforeLines="50" w:after="156" w:afterLines="50" w:line="560" w:lineRule="exact"/>
        <w:jc w:val="center"/>
        <w:textAlignment w:val="auto"/>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44"/>
          <w:szCs w:val="44"/>
        </w:rPr>
        <w:t>202</w:t>
      </w:r>
      <w:r>
        <w:rPr>
          <w:rFonts w:hint="eastAsia" w:ascii="方正小标宋简体" w:hAnsi="方正小标宋简体" w:eastAsia="方正小标宋简体" w:cs="方正小标宋简体"/>
          <w:b/>
          <w:bCs/>
          <w:color w:val="auto"/>
          <w:sz w:val="44"/>
          <w:szCs w:val="44"/>
          <w:lang w:val="en-US" w:eastAsia="zh-CN"/>
        </w:rPr>
        <w:t>5</w:t>
      </w:r>
      <w:r>
        <w:rPr>
          <w:rFonts w:hint="eastAsia" w:ascii="方正小标宋简体" w:hAnsi="方正小标宋简体" w:eastAsia="方正小标宋简体" w:cs="方正小标宋简体"/>
          <w:b/>
          <w:bCs/>
          <w:color w:val="auto"/>
          <w:sz w:val="44"/>
          <w:szCs w:val="44"/>
        </w:rPr>
        <w:t>年</w:t>
      </w:r>
      <w:r>
        <w:rPr>
          <w:rFonts w:hint="eastAsia" w:ascii="方正小标宋简体" w:hAnsi="方正小标宋简体" w:eastAsia="方正小标宋简体" w:cs="方正小标宋简体"/>
          <w:b/>
          <w:bCs/>
          <w:color w:val="auto"/>
          <w:sz w:val="44"/>
          <w:szCs w:val="44"/>
          <w:lang w:eastAsia="zh-CN"/>
        </w:rPr>
        <w:t>体育特长生</w:t>
      </w:r>
      <w:r>
        <w:rPr>
          <w:rFonts w:hint="eastAsia" w:ascii="方正小标宋简体" w:hAnsi="方正小标宋简体" w:eastAsia="方正小标宋简体" w:cs="方正小标宋简体"/>
          <w:b/>
          <w:bCs/>
          <w:color w:val="auto"/>
          <w:sz w:val="44"/>
          <w:szCs w:val="44"/>
          <w:lang w:val="en-US" w:eastAsia="zh-CN"/>
        </w:rPr>
        <w:t>高职单招</w:t>
      </w:r>
      <w:r>
        <w:rPr>
          <w:rFonts w:hint="eastAsia" w:ascii="方正小标宋简体" w:hAnsi="方正小标宋简体" w:eastAsia="方正小标宋简体" w:cs="方正小标宋简体"/>
          <w:b/>
          <w:bCs/>
          <w:color w:val="auto"/>
          <w:sz w:val="44"/>
          <w:szCs w:val="44"/>
        </w:rPr>
        <w:t>方案</w:t>
      </w:r>
    </w:p>
    <w:p w14:paraId="45F2440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为进一步规范我院特长生招生工作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推进体育后备人才的培养，根据湖南省教育厅《关于做好湖南省2025年高职（高专）院校单独招生工作的通知》（湘教发〔2024〕271号）要求，结合学</w:t>
      </w:r>
      <w:r>
        <w:rPr>
          <w:rFonts w:hint="eastAsia" w:ascii="仿宋_GB2312" w:hAnsi="仿宋_GB2312" w:eastAsia="仿宋_GB2312" w:cs="仿宋_GB2312"/>
          <w:color w:val="auto"/>
          <w:sz w:val="32"/>
          <w:szCs w:val="32"/>
          <w:lang w:val="en-US" w:eastAsia="zh-CN"/>
        </w:rPr>
        <w:t>院</w:t>
      </w:r>
      <w:r>
        <w:rPr>
          <w:rFonts w:hint="eastAsia" w:ascii="仿宋_GB2312" w:hAnsi="仿宋_GB2312" w:eastAsia="仿宋_GB2312" w:cs="仿宋_GB2312"/>
          <w:color w:val="auto"/>
          <w:sz w:val="32"/>
          <w:szCs w:val="32"/>
        </w:rPr>
        <w:t>实际，特制订本招生方案。</w:t>
      </w:r>
    </w:p>
    <w:p w14:paraId="58656B2D">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left="561"/>
        <w:textAlignment w:val="auto"/>
        <w:rPr>
          <w:rFonts w:hint="eastAsia" w:ascii="仿宋_GB2312" w:hAnsi="仿宋_GB2312" w:eastAsia="仿宋_GB2312" w:cs="仿宋_GB2312"/>
          <w:b/>
          <w:bCs/>
          <w:color w:val="auto"/>
          <w:sz w:val="32"/>
          <w:szCs w:val="28"/>
        </w:rPr>
      </w:pPr>
      <w:r>
        <w:rPr>
          <w:rFonts w:hint="eastAsia" w:ascii="仿宋_GB2312" w:hAnsi="仿宋_GB2312" w:eastAsia="仿宋_GB2312" w:cs="仿宋_GB2312"/>
          <w:b/>
          <w:bCs/>
          <w:color w:val="auto"/>
          <w:sz w:val="32"/>
          <w:szCs w:val="28"/>
        </w:rPr>
        <w:t>一、招生项目与计划</w:t>
      </w:r>
    </w:p>
    <w:p w14:paraId="16BD1E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院</w:t>
      </w:r>
      <w:r>
        <w:rPr>
          <w:rFonts w:hint="eastAsia" w:ascii="仿宋_GB2312" w:hAnsi="仿宋_GB2312" w:eastAsia="仿宋_GB2312" w:cs="仿宋_GB2312"/>
          <w:color w:val="auto"/>
          <w:sz w:val="32"/>
          <w:szCs w:val="32"/>
          <w:lang w:eastAsia="zh-CN"/>
        </w:rPr>
        <w:t>体育特长生</w:t>
      </w:r>
      <w:r>
        <w:rPr>
          <w:rFonts w:hint="eastAsia" w:ascii="仿宋_GB2312" w:hAnsi="仿宋_GB2312" w:eastAsia="仿宋_GB2312" w:cs="仿宋_GB2312"/>
          <w:color w:val="auto"/>
          <w:sz w:val="32"/>
          <w:szCs w:val="32"/>
        </w:rPr>
        <w:t>招生</w:t>
      </w:r>
      <w:r>
        <w:rPr>
          <w:rFonts w:hint="eastAsia" w:ascii="仿宋_GB2312" w:hAnsi="仿宋_GB2312" w:eastAsia="仿宋_GB2312" w:cs="仿宋_GB2312"/>
          <w:color w:val="auto"/>
          <w:sz w:val="32"/>
          <w:szCs w:val="32"/>
          <w:lang w:val="en-US" w:eastAsia="zh-CN"/>
        </w:rPr>
        <w:t>计划</w:t>
      </w:r>
      <w:r>
        <w:rPr>
          <w:rFonts w:hint="eastAsia" w:ascii="仿宋_GB2312" w:hAnsi="仿宋_GB2312" w:eastAsia="仿宋_GB2312" w:cs="仿宋_GB2312"/>
          <w:color w:val="auto"/>
          <w:sz w:val="32"/>
          <w:szCs w:val="32"/>
        </w:rPr>
        <w:t>严格按照湖南省教育厅有关规定执行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计划总数</w:t>
      </w:r>
      <w:r>
        <w:rPr>
          <w:rFonts w:hint="eastAsia" w:ascii="仿宋_GB2312" w:hAnsi="仿宋_GB2312" w:eastAsia="仿宋_GB2312" w:cs="仿宋_GB2312"/>
          <w:color w:val="auto"/>
          <w:sz w:val="32"/>
          <w:szCs w:val="32"/>
          <w:u w:val="none"/>
          <w:lang w:val="en-US" w:eastAsia="zh-CN"/>
        </w:rPr>
        <w:t>12人</w:t>
      </w:r>
      <w:r>
        <w:rPr>
          <w:rFonts w:hint="eastAsia" w:ascii="仿宋_GB2312" w:hAnsi="仿宋_GB2312" w:eastAsia="仿宋_GB2312" w:cs="仿宋_GB2312"/>
          <w:color w:val="auto"/>
          <w:sz w:val="32"/>
          <w:szCs w:val="32"/>
        </w:rPr>
        <w:t>。具体各项目计划如下：</w:t>
      </w:r>
    </w:p>
    <w:tbl>
      <w:tblPr>
        <w:tblStyle w:val="8"/>
        <w:tblW w:w="6911" w:type="dxa"/>
        <w:jc w:val="center"/>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266"/>
        <w:gridCol w:w="2127"/>
        <w:gridCol w:w="2518"/>
      </w:tblGrid>
      <w:tr w14:paraId="2177E7C7">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5" w:hRule="exact"/>
          <w:jc w:val="center"/>
        </w:trPr>
        <w:tc>
          <w:tcPr>
            <w:tcW w:w="4393" w:type="dxa"/>
            <w:gridSpan w:val="2"/>
            <w:vMerge w:val="restart"/>
            <w:tcBorders>
              <w:top w:val="outset" w:color="auto" w:sz="6" w:space="0"/>
              <w:left w:val="outset" w:color="auto" w:sz="6" w:space="0"/>
              <w:bottom w:val="single" w:color="666666" w:sz="6" w:space="0"/>
              <w:right w:val="single" w:color="666666" w:sz="6" w:space="0"/>
              <w:tl2br w:val="single" w:color="auto" w:sz="4" w:space="0"/>
            </w:tcBorders>
            <w:shd w:val="clear" w:color="auto" w:fill="FFFFFF"/>
            <w:tcMar>
              <w:top w:w="75" w:type="dxa"/>
              <w:left w:w="75" w:type="dxa"/>
              <w:bottom w:w="75" w:type="dxa"/>
              <w:right w:w="75" w:type="dxa"/>
            </w:tcMar>
            <w:vAlign w:val="center"/>
          </w:tcPr>
          <w:p w14:paraId="23574754">
            <w:pPr>
              <w:widowControl/>
              <w:spacing w:line="240" w:lineRule="atLeast"/>
              <w:ind w:firstLine="2319" w:firstLineChars="1100"/>
              <w:jc w:val="center"/>
              <w:rPr>
                <w:rFonts w:eastAsia="宋体" w:cstheme="minorEastAsia"/>
                <w:b/>
                <w:color w:val="auto"/>
                <w:kern w:val="0"/>
                <w:szCs w:val="28"/>
              </w:rPr>
            </w:pPr>
            <w:r>
              <w:rPr>
                <w:rFonts w:hint="eastAsia" w:eastAsia="宋体" w:cstheme="minorEastAsia"/>
                <w:b/>
                <w:bCs/>
                <w:color w:val="auto"/>
                <w:kern w:val="0"/>
                <w:szCs w:val="28"/>
              </w:rPr>
              <w:t>分配</w:t>
            </w:r>
          </w:p>
          <w:p w14:paraId="05698068">
            <w:pPr>
              <w:widowControl/>
              <w:tabs>
                <w:tab w:val="center" w:pos="2121"/>
              </w:tabs>
              <w:spacing w:line="240" w:lineRule="atLeast"/>
              <w:ind w:firstLine="843" w:firstLineChars="400"/>
              <w:jc w:val="left"/>
              <w:rPr>
                <w:rFonts w:eastAsia="宋体" w:cstheme="minorEastAsia"/>
                <w:b/>
                <w:color w:val="auto"/>
                <w:kern w:val="0"/>
                <w:szCs w:val="28"/>
              </w:rPr>
            </w:pPr>
            <w:r>
              <w:rPr>
                <w:rFonts w:hint="eastAsia" w:eastAsia="宋体" w:cstheme="minorEastAsia"/>
                <w:b/>
                <w:bCs/>
                <w:color w:val="auto"/>
                <w:kern w:val="0"/>
                <w:szCs w:val="28"/>
              </w:rPr>
              <w:t>项目</w:t>
            </w:r>
            <w:r>
              <w:rPr>
                <w:rFonts w:hint="eastAsia" w:eastAsia="宋体" w:cstheme="minorEastAsia"/>
                <w:b/>
                <w:bCs/>
                <w:color w:val="auto"/>
                <w:kern w:val="0"/>
                <w:szCs w:val="28"/>
              </w:rPr>
              <w:tab/>
            </w:r>
          </w:p>
        </w:tc>
        <w:tc>
          <w:tcPr>
            <w:tcW w:w="2518" w:type="dxa"/>
            <w:vMerge w:val="restart"/>
            <w:tcBorders>
              <w:top w:val="outset" w:color="auto" w:sz="6" w:space="0"/>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66FBBC93">
            <w:pPr>
              <w:widowControl/>
              <w:spacing w:line="240" w:lineRule="atLeast"/>
              <w:jc w:val="center"/>
              <w:rPr>
                <w:rFonts w:eastAsia="宋体" w:cstheme="minorEastAsia"/>
                <w:b/>
                <w:color w:val="auto"/>
                <w:kern w:val="0"/>
                <w:szCs w:val="28"/>
              </w:rPr>
            </w:pPr>
            <w:r>
              <w:rPr>
                <w:rFonts w:hint="eastAsia" w:eastAsia="宋体" w:cstheme="minorEastAsia"/>
                <w:b/>
                <w:color w:val="auto"/>
                <w:kern w:val="0"/>
                <w:szCs w:val="28"/>
              </w:rPr>
              <w:t>计划数</w:t>
            </w:r>
          </w:p>
        </w:tc>
      </w:tr>
      <w:tr w14:paraId="5D331A86">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5" w:hRule="exact"/>
          <w:jc w:val="center"/>
        </w:trPr>
        <w:tc>
          <w:tcPr>
            <w:tcW w:w="4393" w:type="dxa"/>
            <w:gridSpan w:val="2"/>
            <w:vMerge w:val="continue"/>
            <w:tcBorders>
              <w:top w:val="outset" w:color="auto" w:sz="6" w:space="0"/>
              <w:left w:val="outset" w:color="auto" w:sz="6" w:space="0"/>
              <w:bottom w:val="single" w:color="666666" w:sz="6" w:space="0"/>
              <w:right w:val="single" w:color="666666" w:sz="6" w:space="0"/>
            </w:tcBorders>
            <w:shd w:val="clear" w:color="auto" w:fill="FFFFFF"/>
            <w:vAlign w:val="center"/>
          </w:tcPr>
          <w:p w14:paraId="6CD806EB">
            <w:pPr>
              <w:widowControl/>
              <w:spacing w:line="240" w:lineRule="atLeast"/>
              <w:jc w:val="left"/>
              <w:rPr>
                <w:rFonts w:eastAsia="宋体" w:cstheme="minorEastAsia"/>
                <w:color w:val="auto"/>
                <w:kern w:val="0"/>
                <w:szCs w:val="28"/>
              </w:rPr>
            </w:pPr>
          </w:p>
        </w:tc>
        <w:tc>
          <w:tcPr>
            <w:tcW w:w="2518" w:type="dxa"/>
            <w:vMerge w:val="continue"/>
            <w:tcBorders>
              <w:top w:val="outset" w:color="auto" w:sz="6" w:space="0"/>
              <w:left w:val="nil"/>
              <w:bottom w:val="single" w:color="666666" w:sz="6" w:space="0"/>
              <w:right w:val="single" w:color="666666" w:sz="6" w:space="0"/>
            </w:tcBorders>
            <w:shd w:val="clear" w:color="auto" w:fill="FFFFFF"/>
            <w:vAlign w:val="center"/>
          </w:tcPr>
          <w:p w14:paraId="1B130612">
            <w:pPr>
              <w:widowControl/>
              <w:spacing w:line="240" w:lineRule="atLeast"/>
              <w:jc w:val="left"/>
              <w:rPr>
                <w:rFonts w:eastAsia="宋体" w:cstheme="minorEastAsia"/>
                <w:color w:val="auto"/>
                <w:kern w:val="0"/>
                <w:szCs w:val="28"/>
              </w:rPr>
            </w:pPr>
          </w:p>
        </w:tc>
      </w:tr>
      <w:tr w14:paraId="4EDE4432">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5" w:hRule="exact"/>
          <w:jc w:val="center"/>
        </w:trPr>
        <w:tc>
          <w:tcPr>
            <w:tcW w:w="2266" w:type="dxa"/>
            <w:tcBorders>
              <w:top w:val="nil"/>
              <w:left w:val="outset" w:color="auto" w:sz="6" w:space="0"/>
              <w:bottom w:val="single" w:color="auto" w:sz="4" w:space="0"/>
              <w:right w:val="single" w:color="666666" w:sz="6" w:space="0"/>
            </w:tcBorders>
            <w:shd w:val="clear" w:color="auto" w:fill="FFFFFF"/>
            <w:tcMar>
              <w:top w:w="75" w:type="dxa"/>
              <w:left w:w="75" w:type="dxa"/>
              <w:bottom w:w="75" w:type="dxa"/>
              <w:right w:w="75" w:type="dxa"/>
            </w:tcMar>
            <w:vAlign w:val="center"/>
          </w:tcPr>
          <w:p w14:paraId="3F66FFFF">
            <w:pPr>
              <w:widowControl/>
              <w:spacing w:line="240" w:lineRule="atLeast"/>
              <w:jc w:val="center"/>
              <w:rPr>
                <w:rFonts w:eastAsia="宋体" w:cstheme="minorEastAsia"/>
                <w:color w:val="auto"/>
                <w:kern w:val="0"/>
                <w:szCs w:val="28"/>
              </w:rPr>
            </w:pPr>
            <w:r>
              <w:rPr>
                <w:rFonts w:hint="eastAsia" w:eastAsia="宋体" w:cs="宋体"/>
                <w:color w:val="auto"/>
                <w:kern w:val="0"/>
                <w:szCs w:val="28"/>
              </w:rPr>
              <w:t>武术套路</w:t>
            </w:r>
          </w:p>
        </w:tc>
        <w:tc>
          <w:tcPr>
            <w:tcW w:w="2127" w:type="dxa"/>
            <w:tcBorders>
              <w:top w:val="nil"/>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42681DF3">
            <w:pPr>
              <w:widowControl/>
              <w:spacing w:line="240" w:lineRule="atLeast"/>
              <w:jc w:val="center"/>
              <w:rPr>
                <w:rFonts w:eastAsia="宋体" w:cstheme="minorEastAsia"/>
                <w:color w:val="auto"/>
                <w:kern w:val="0"/>
                <w:szCs w:val="28"/>
              </w:rPr>
            </w:pPr>
            <w:r>
              <w:rPr>
                <w:rFonts w:hint="eastAsia" w:eastAsia="宋体" w:cstheme="minorEastAsia"/>
                <w:color w:val="auto"/>
                <w:kern w:val="0"/>
                <w:szCs w:val="28"/>
              </w:rPr>
              <w:t>男、女</w:t>
            </w:r>
          </w:p>
        </w:tc>
        <w:tc>
          <w:tcPr>
            <w:tcW w:w="2518" w:type="dxa"/>
            <w:tcBorders>
              <w:top w:val="nil"/>
              <w:left w:val="nil"/>
              <w:bottom w:val="single" w:color="auto" w:sz="4" w:space="0"/>
              <w:right w:val="single" w:color="666666" w:sz="6" w:space="0"/>
            </w:tcBorders>
            <w:shd w:val="clear" w:color="auto" w:fill="FFFFFF"/>
            <w:tcMar>
              <w:top w:w="75" w:type="dxa"/>
              <w:left w:w="75" w:type="dxa"/>
              <w:bottom w:w="75" w:type="dxa"/>
              <w:right w:w="75" w:type="dxa"/>
            </w:tcMar>
            <w:vAlign w:val="center"/>
          </w:tcPr>
          <w:p w14:paraId="5AFE71BB">
            <w:pPr>
              <w:widowControl/>
              <w:spacing w:line="240" w:lineRule="atLeast"/>
              <w:jc w:val="center"/>
              <w:rPr>
                <w:rFonts w:eastAsia="宋体" w:cstheme="minorEastAsia"/>
                <w:color w:val="auto"/>
                <w:kern w:val="0"/>
                <w:szCs w:val="28"/>
              </w:rPr>
            </w:pPr>
            <w:r>
              <w:rPr>
                <w:rFonts w:hint="eastAsia" w:eastAsia="宋体" w:cstheme="minorEastAsia"/>
                <w:color w:val="auto"/>
                <w:kern w:val="0"/>
                <w:szCs w:val="28"/>
              </w:rPr>
              <w:t>2</w:t>
            </w:r>
          </w:p>
        </w:tc>
      </w:tr>
      <w:tr w14:paraId="7FA8375A">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5" w:hRule="exact"/>
          <w:jc w:val="center"/>
        </w:trPr>
        <w:tc>
          <w:tcPr>
            <w:tcW w:w="2266" w:type="dxa"/>
            <w:tcBorders>
              <w:top w:val="nil"/>
              <w:left w:val="outset" w:color="auto" w:sz="6" w:space="0"/>
              <w:bottom w:val="single" w:color="666666" w:sz="6" w:space="0"/>
              <w:right w:val="single" w:color="666666" w:sz="6" w:space="0"/>
            </w:tcBorders>
            <w:shd w:val="clear" w:color="auto" w:fill="FFFFFF"/>
            <w:tcMar>
              <w:top w:w="75" w:type="dxa"/>
              <w:left w:w="75" w:type="dxa"/>
              <w:bottom w:w="75" w:type="dxa"/>
              <w:right w:w="75" w:type="dxa"/>
            </w:tcMar>
            <w:vAlign w:val="center"/>
          </w:tcPr>
          <w:p w14:paraId="4831826E">
            <w:pPr>
              <w:widowControl/>
              <w:spacing w:line="240" w:lineRule="atLeast"/>
              <w:jc w:val="center"/>
              <w:rPr>
                <w:rFonts w:eastAsia="宋体" w:cs="宋体"/>
                <w:color w:val="auto"/>
                <w:kern w:val="0"/>
                <w:szCs w:val="28"/>
              </w:rPr>
            </w:pPr>
            <w:r>
              <w:rPr>
                <w:rFonts w:hint="eastAsia" w:eastAsia="宋体" w:cs="宋体"/>
                <w:color w:val="auto"/>
                <w:kern w:val="0"/>
                <w:szCs w:val="28"/>
              </w:rPr>
              <w:t>散打</w:t>
            </w:r>
          </w:p>
        </w:tc>
        <w:tc>
          <w:tcPr>
            <w:tcW w:w="2127" w:type="dxa"/>
            <w:tcBorders>
              <w:top w:val="nil"/>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461BDA47">
            <w:pPr>
              <w:widowControl/>
              <w:spacing w:line="240" w:lineRule="atLeast"/>
              <w:jc w:val="center"/>
              <w:rPr>
                <w:rFonts w:eastAsia="宋体" w:cstheme="minorEastAsia"/>
                <w:color w:val="auto"/>
                <w:kern w:val="0"/>
                <w:szCs w:val="28"/>
              </w:rPr>
            </w:pPr>
            <w:r>
              <w:rPr>
                <w:rFonts w:hint="eastAsia" w:eastAsia="宋体" w:cstheme="minorEastAsia"/>
                <w:color w:val="auto"/>
                <w:kern w:val="0"/>
                <w:szCs w:val="28"/>
              </w:rPr>
              <w:t>男、女</w:t>
            </w:r>
          </w:p>
        </w:tc>
        <w:tc>
          <w:tcPr>
            <w:tcW w:w="2518" w:type="dxa"/>
            <w:tcBorders>
              <w:top w:val="nil"/>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3A72FF1E">
            <w:pPr>
              <w:widowControl/>
              <w:spacing w:line="240" w:lineRule="atLeast"/>
              <w:jc w:val="center"/>
              <w:rPr>
                <w:rFonts w:hint="eastAsia" w:eastAsia="宋体" w:cstheme="minorEastAsia"/>
                <w:color w:val="auto"/>
                <w:kern w:val="0"/>
                <w:szCs w:val="28"/>
                <w:lang w:eastAsia="zh-CN"/>
              </w:rPr>
            </w:pPr>
            <w:r>
              <w:rPr>
                <w:rFonts w:hint="eastAsia" w:eastAsia="宋体" w:cstheme="minorEastAsia"/>
                <w:color w:val="auto"/>
                <w:kern w:val="0"/>
                <w:szCs w:val="28"/>
                <w:lang w:val="en-US" w:eastAsia="zh-CN"/>
              </w:rPr>
              <w:t>4</w:t>
            </w:r>
          </w:p>
        </w:tc>
      </w:tr>
      <w:tr w14:paraId="77108426">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5" w:hRule="exact"/>
          <w:jc w:val="center"/>
        </w:trPr>
        <w:tc>
          <w:tcPr>
            <w:tcW w:w="2266" w:type="dxa"/>
            <w:tcBorders>
              <w:top w:val="nil"/>
              <w:left w:val="outset" w:color="auto" w:sz="6" w:space="0"/>
              <w:bottom w:val="single" w:color="666666" w:sz="6" w:space="0"/>
              <w:right w:val="single" w:color="666666" w:sz="6" w:space="0"/>
            </w:tcBorders>
            <w:shd w:val="clear" w:color="auto" w:fill="FFFFFF"/>
            <w:tcMar>
              <w:top w:w="75" w:type="dxa"/>
              <w:left w:w="75" w:type="dxa"/>
              <w:bottom w:w="75" w:type="dxa"/>
              <w:right w:w="75" w:type="dxa"/>
            </w:tcMar>
            <w:vAlign w:val="center"/>
          </w:tcPr>
          <w:p w14:paraId="1CD12A34">
            <w:pPr>
              <w:widowControl/>
              <w:spacing w:line="240" w:lineRule="atLeast"/>
              <w:jc w:val="center"/>
              <w:rPr>
                <w:rFonts w:eastAsia="宋体" w:cs="宋体"/>
                <w:color w:val="auto"/>
                <w:kern w:val="0"/>
                <w:szCs w:val="28"/>
              </w:rPr>
            </w:pPr>
            <w:r>
              <w:rPr>
                <w:rFonts w:hint="eastAsia" w:eastAsia="宋体" w:cs="宋体"/>
                <w:color w:val="auto"/>
                <w:kern w:val="0"/>
                <w:szCs w:val="28"/>
              </w:rPr>
              <w:t>跆拳道</w:t>
            </w:r>
          </w:p>
        </w:tc>
        <w:tc>
          <w:tcPr>
            <w:tcW w:w="2127" w:type="dxa"/>
            <w:tcBorders>
              <w:top w:val="nil"/>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4AB4987E">
            <w:pPr>
              <w:widowControl/>
              <w:spacing w:line="240" w:lineRule="atLeast"/>
              <w:jc w:val="center"/>
              <w:rPr>
                <w:rFonts w:eastAsia="宋体" w:cstheme="minorEastAsia"/>
                <w:color w:val="auto"/>
                <w:kern w:val="0"/>
                <w:szCs w:val="28"/>
              </w:rPr>
            </w:pPr>
            <w:r>
              <w:rPr>
                <w:rFonts w:hint="eastAsia" w:eastAsia="宋体" w:cstheme="minorEastAsia"/>
                <w:color w:val="auto"/>
                <w:kern w:val="0"/>
                <w:szCs w:val="28"/>
              </w:rPr>
              <w:t>男、女</w:t>
            </w:r>
          </w:p>
        </w:tc>
        <w:tc>
          <w:tcPr>
            <w:tcW w:w="2518" w:type="dxa"/>
            <w:tcBorders>
              <w:top w:val="nil"/>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04D06512">
            <w:pPr>
              <w:widowControl/>
              <w:spacing w:line="240" w:lineRule="atLeast"/>
              <w:jc w:val="center"/>
              <w:rPr>
                <w:rFonts w:eastAsia="宋体" w:cstheme="minorEastAsia"/>
                <w:color w:val="auto"/>
                <w:kern w:val="0"/>
                <w:szCs w:val="28"/>
              </w:rPr>
            </w:pPr>
            <w:r>
              <w:rPr>
                <w:rFonts w:hint="eastAsia" w:eastAsia="宋体" w:cstheme="minorEastAsia"/>
                <w:color w:val="auto"/>
                <w:kern w:val="0"/>
                <w:szCs w:val="28"/>
              </w:rPr>
              <w:t>2</w:t>
            </w:r>
          </w:p>
        </w:tc>
      </w:tr>
      <w:tr w14:paraId="667F111D">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5" w:hRule="exact"/>
          <w:jc w:val="center"/>
        </w:trPr>
        <w:tc>
          <w:tcPr>
            <w:tcW w:w="2266" w:type="dxa"/>
            <w:tcBorders>
              <w:top w:val="nil"/>
              <w:left w:val="outset" w:color="auto" w:sz="6" w:space="0"/>
              <w:bottom w:val="single" w:color="666666" w:sz="6" w:space="0"/>
              <w:right w:val="single" w:color="666666" w:sz="6" w:space="0"/>
            </w:tcBorders>
            <w:shd w:val="clear" w:color="auto" w:fill="FFFFFF"/>
            <w:tcMar>
              <w:top w:w="75" w:type="dxa"/>
              <w:left w:w="75" w:type="dxa"/>
              <w:bottom w:w="75" w:type="dxa"/>
              <w:right w:w="75" w:type="dxa"/>
            </w:tcMar>
            <w:vAlign w:val="center"/>
          </w:tcPr>
          <w:p w14:paraId="376A0F28">
            <w:pPr>
              <w:widowControl/>
              <w:spacing w:line="240" w:lineRule="atLeast"/>
              <w:jc w:val="center"/>
              <w:rPr>
                <w:rFonts w:eastAsia="宋体" w:cs="宋体"/>
                <w:color w:val="auto"/>
                <w:kern w:val="0"/>
                <w:szCs w:val="28"/>
              </w:rPr>
            </w:pPr>
            <w:r>
              <w:rPr>
                <w:rFonts w:hint="eastAsia" w:eastAsia="宋体" w:cs="宋体"/>
                <w:color w:val="auto"/>
                <w:kern w:val="0"/>
                <w:szCs w:val="28"/>
              </w:rPr>
              <w:t>田径</w:t>
            </w:r>
          </w:p>
        </w:tc>
        <w:tc>
          <w:tcPr>
            <w:tcW w:w="2127" w:type="dxa"/>
            <w:tcBorders>
              <w:top w:val="nil"/>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36AB55E7">
            <w:pPr>
              <w:widowControl/>
              <w:spacing w:line="240" w:lineRule="atLeast"/>
              <w:jc w:val="center"/>
              <w:rPr>
                <w:rFonts w:eastAsia="宋体" w:cstheme="minorEastAsia"/>
                <w:color w:val="auto"/>
                <w:kern w:val="0"/>
                <w:szCs w:val="28"/>
              </w:rPr>
            </w:pPr>
            <w:r>
              <w:rPr>
                <w:rFonts w:hint="eastAsia" w:eastAsia="宋体" w:cstheme="minorEastAsia"/>
                <w:color w:val="auto"/>
                <w:kern w:val="0"/>
                <w:szCs w:val="28"/>
              </w:rPr>
              <w:t>男、女</w:t>
            </w:r>
          </w:p>
        </w:tc>
        <w:tc>
          <w:tcPr>
            <w:tcW w:w="2518" w:type="dxa"/>
            <w:tcBorders>
              <w:top w:val="nil"/>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3452B01D">
            <w:pPr>
              <w:widowControl/>
              <w:spacing w:line="240" w:lineRule="atLeast"/>
              <w:jc w:val="center"/>
              <w:rPr>
                <w:rFonts w:eastAsia="宋体" w:cstheme="minorEastAsia"/>
                <w:color w:val="auto"/>
                <w:kern w:val="0"/>
                <w:szCs w:val="28"/>
              </w:rPr>
            </w:pPr>
            <w:r>
              <w:rPr>
                <w:rFonts w:hint="eastAsia" w:eastAsia="宋体" w:cstheme="minorEastAsia"/>
                <w:color w:val="auto"/>
                <w:kern w:val="0"/>
                <w:szCs w:val="28"/>
              </w:rPr>
              <w:t>2</w:t>
            </w:r>
          </w:p>
        </w:tc>
      </w:tr>
      <w:tr w14:paraId="763BBDE4">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5" w:hRule="exact"/>
          <w:jc w:val="center"/>
        </w:trPr>
        <w:tc>
          <w:tcPr>
            <w:tcW w:w="2266" w:type="dxa"/>
            <w:tcBorders>
              <w:top w:val="nil"/>
              <w:left w:val="outset" w:color="auto" w:sz="6" w:space="0"/>
              <w:bottom w:val="single" w:color="666666" w:sz="6" w:space="0"/>
              <w:right w:val="single" w:color="666666" w:sz="6" w:space="0"/>
            </w:tcBorders>
            <w:shd w:val="clear" w:color="auto" w:fill="FFFFFF"/>
            <w:tcMar>
              <w:top w:w="75" w:type="dxa"/>
              <w:left w:w="75" w:type="dxa"/>
              <w:bottom w:w="75" w:type="dxa"/>
              <w:right w:w="75" w:type="dxa"/>
            </w:tcMar>
            <w:vAlign w:val="center"/>
          </w:tcPr>
          <w:p w14:paraId="550D6F00">
            <w:pPr>
              <w:widowControl/>
              <w:spacing w:line="240" w:lineRule="atLeast"/>
              <w:jc w:val="center"/>
              <w:rPr>
                <w:rFonts w:hint="eastAsia" w:eastAsia="宋体" w:cs="宋体"/>
                <w:color w:val="auto"/>
                <w:kern w:val="0"/>
                <w:szCs w:val="28"/>
                <w:lang w:val="en-US" w:eastAsia="zh-CN"/>
              </w:rPr>
            </w:pPr>
            <w:r>
              <w:rPr>
                <w:rFonts w:hint="eastAsia" w:eastAsia="宋体" w:cs="宋体"/>
                <w:color w:val="auto"/>
                <w:kern w:val="0"/>
                <w:szCs w:val="28"/>
                <w:lang w:val="en-US" w:eastAsia="zh-CN"/>
              </w:rPr>
              <w:t>乒乓球</w:t>
            </w:r>
          </w:p>
        </w:tc>
        <w:tc>
          <w:tcPr>
            <w:tcW w:w="2127" w:type="dxa"/>
            <w:tcBorders>
              <w:top w:val="nil"/>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5B7CECF7">
            <w:pPr>
              <w:widowControl/>
              <w:spacing w:line="240" w:lineRule="atLeast"/>
              <w:jc w:val="center"/>
              <w:rPr>
                <w:rFonts w:hint="eastAsia" w:eastAsia="宋体" w:cstheme="minorEastAsia"/>
                <w:color w:val="auto"/>
                <w:kern w:val="0"/>
                <w:szCs w:val="28"/>
              </w:rPr>
            </w:pPr>
            <w:r>
              <w:rPr>
                <w:rFonts w:hint="eastAsia" w:eastAsia="宋体" w:cstheme="minorEastAsia"/>
                <w:color w:val="auto"/>
                <w:kern w:val="0"/>
                <w:szCs w:val="28"/>
              </w:rPr>
              <w:t>男、女</w:t>
            </w:r>
          </w:p>
        </w:tc>
        <w:tc>
          <w:tcPr>
            <w:tcW w:w="2518" w:type="dxa"/>
            <w:tcBorders>
              <w:top w:val="nil"/>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48532922">
            <w:pPr>
              <w:widowControl/>
              <w:spacing w:line="240" w:lineRule="atLeast"/>
              <w:jc w:val="center"/>
              <w:rPr>
                <w:rFonts w:hint="default" w:eastAsia="宋体" w:cstheme="minorEastAsia"/>
                <w:color w:val="auto"/>
                <w:kern w:val="0"/>
                <w:szCs w:val="28"/>
                <w:lang w:val="en-US" w:eastAsia="zh-CN"/>
              </w:rPr>
            </w:pPr>
            <w:r>
              <w:rPr>
                <w:rFonts w:hint="eastAsia" w:eastAsia="宋体" w:cstheme="minorEastAsia"/>
                <w:color w:val="auto"/>
                <w:kern w:val="0"/>
                <w:szCs w:val="28"/>
                <w:lang w:val="en-US" w:eastAsia="zh-CN"/>
              </w:rPr>
              <w:t>2</w:t>
            </w:r>
          </w:p>
        </w:tc>
      </w:tr>
      <w:tr w14:paraId="30051E6A">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5" w:hRule="exact"/>
          <w:jc w:val="center"/>
        </w:trPr>
        <w:tc>
          <w:tcPr>
            <w:tcW w:w="4393" w:type="dxa"/>
            <w:gridSpan w:val="2"/>
            <w:tcBorders>
              <w:top w:val="nil"/>
              <w:left w:val="outset" w:color="auto" w:sz="6" w:space="0"/>
              <w:bottom w:val="single" w:color="666666" w:sz="6" w:space="0"/>
              <w:right w:val="single" w:color="666666" w:sz="6" w:space="0"/>
            </w:tcBorders>
            <w:shd w:val="clear" w:color="auto" w:fill="FFFFFF"/>
            <w:vAlign w:val="center"/>
          </w:tcPr>
          <w:p w14:paraId="55F89B32">
            <w:pPr>
              <w:widowControl/>
              <w:spacing w:line="240" w:lineRule="atLeast"/>
              <w:jc w:val="center"/>
              <w:rPr>
                <w:rFonts w:eastAsia="宋体" w:cstheme="minorEastAsia"/>
                <w:color w:val="auto"/>
                <w:kern w:val="0"/>
                <w:szCs w:val="28"/>
              </w:rPr>
            </w:pPr>
            <w:r>
              <w:rPr>
                <w:rFonts w:hint="eastAsia" w:eastAsia="宋体" w:cstheme="minorEastAsia"/>
                <w:color w:val="auto"/>
                <w:kern w:val="0"/>
                <w:szCs w:val="28"/>
              </w:rPr>
              <w:t>合计</w:t>
            </w:r>
          </w:p>
        </w:tc>
        <w:tc>
          <w:tcPr>
            <w:tcW w:w="2518" w:type="dxa"/>
            <w:tcBorders>
              <w:top w:val="nil"/>
              <w:left w:val="nil"/>
              <w:bottom w:val="single" w:color="666666" w:sz="6" w:space="0"/>
              <w:right w:val="single" w:color="666666" w:sz="6" w:space="0"/>
            </w:tcBorders>
            <w:shd w:val="clear" w:color="auto" w:fill="FFFFFF"/>
            <w:vAlign w:val="center"/>
          </w:tcPr>
          <w:p w14:paraId="5BBD7858">
            <w:pPr>
              <w:widowControl/>
              <w:spacing w:line="240" w:lineRule="atLeast"/>
              <w:jc w:val="center"/>
              <w:rPr>
                <w:rFonts w:hint="eastAsia" w:eastAsia="宋体" w:cstheme="minorEastAsia"/>
                <w:color w:val="auto"/>
                <w:kern w:val="0"/>
                <w:szCs w:val="28"/>
                <w:lang w:eastAsia="zh-CN"/>
              </w:rPr>
            </w:pPr>
            <w:r>
              <w:rPr>
                <w:rFonts w:hint="eastAsia" w:eastAsia="宋体" w:cstheme="minorEastAsia"/>
                <w:color w:val="auto"/>
                <w:kern w:val="0"/>
                <w:szCs w:val="28"/>
              </w:rPr>
              <w:t>1</w:t>
            </w:r>
            <w:r>
              <w:rPr>
                <w:rFonts w:hint="eastAsia" w:eastAsia="宋体" w:cstheme="minorEastAsia"/>
                <w:color w:val="auto"/>
                <w:kern w:val="0"/>
                <w:szCs w:val="28"/>
                <w:lang w:val="en-US" w:eastAsia="zh-CN"/>
              </w:rPr>
              <w:t>2</w:t>
            </w:r>
          </w:p>
        </w:tc>
      </w:tr>
    </w:tbl>
    <w:p w14:paraId="36AFD12C">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left="561"/>
        <w:textAlignment w:val="auto"/>
        <w:rPr>
          <w:rFonts w:hint="eastAsia" w:ascii="仿宋_GB2312" w:hAnsi="仿宋_GB2312" w:eastAsia="仿宋_GB2312" w:cs="仿宋_GB2312"/>
          <w:b/>
          <w:bCs/>
          <w:color w:val="auto"/>
          <w:sz w:val="32"/>
          <w:szCs w:val="28"/>
        </w:rPr>
      </w:pPr>
    </w:p>
    <w:p w14:paraId="4A4F9968">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left="561"/>
        <w:textAlignment w:val="auto"/>
        <w:rPr>
          <w:rFonts w:hint="eastAsia" w:ascii="仿宋_GB2312" w:hAnsi="仿宋_GB2312" w:eastAsia="仿宋_GB2312" w:cs="仿宋_GB2312"/>
          <w:b/>
          <w:bCs/>
          <w:color w:val="auto"/>
          <w:sz w:val="32"/>
          <w:szCs w:val="28"/>
        </w:rPr>
      </w:pPr>
      <w:r>
        <w:rPr>
          <w:rFonts w:hint="eastAsia" w:ascii="仿宋_GB2312" w:hAnsi="仿宋_GB2312" w:eastAsia="仿宋_GB2312" w:cs="仿宋_GB2312"/>
          <w:b/>
          <w:bCs/>
          <w:color w:val="auto"/>
          <w:sz w:val="32"/>
          <w:szCs w:val="28"/>
        </w:rPr>
        <w:t>二、报考条件</w:t>
      </w:r>
    </w:p>
    <w:p w14:paraId="3E994EE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符合</w:t>
      </w:r>
      <w:r>
        <w:rPr>
          <w:rFonts w:hint="eastAsia" w:ascii="仿宋_GB2312" w:hAnsi="仿宋_GB2312" w:eastAsia="仿宋_GB2312" w:cs="仿宋_GB2312"/>
          <w:color w:val="auto"/>
          <w:sz w:val="32"/>
          <w:szCs w:val="32"/>
          <w:lang w:val="en-US" w:eastAsia="zh-CN"/>
        </w:rPr>
        <w:t>湖南</w:t>
      </w:r>
      <w:r>
        <w:rPr>
          <w:rFonts w:hint="eastAsia" w:ascii="仿宋_GB2312" w:hAnsi="仿宋_GB2312" w:eastAsia="仿宋_GB2312" w:cs="仿宋_GB2312"/>
          <w:color w:val="auto"/>
          <w:sz w:val="32"/>
          <w:szCs w:val="32"/>
        </w:rPr>
        <w:t>省202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年普通高考（含对口招生考试）报名条件并已参加高考报名；</w:t>
      </w:r>
      <w:r>
        <w:rPr>
          <w:rFonts w:hint="eastAsia" w:ascii="仿宋_GB2312" w:hAnsi="仿宋_GB2312" w:eastAsia="仿宋_GB2312" w:cs="仿宋_GB2312"/>
          <w:color w:val="auto"/>
          <w:sz w:val="32"/>
          <w:szCs w:val="32"/>
          <w:lang w:val="en-US" w:eastAsia="zh-CN"/>
        </w:rPr>
        <w:t>德、智、体、美、劳全面发展，无伤病，年龄不超过24周岁(2001年1月1日(含)后出生)的人员，至少具备以下条件之一，且比赛项目为各级政府主管部门组织的官方赛事：</w:t>
      </w:r>
    </w:p>
    <w:p w14:paraId="550C63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1.取得二级及以上运动员等级证书；</w:t>
      </w:r>
    </w:p>
    <w:p w14:paraId="767BC38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2.近三年获得全国比赛前十六名或省级比赛前八名；</w:t>
      </w:r>
    </w:p>
    <w:p w14:paraId="3E02CD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3.近三年获得地市级比赛前六名或县区级比赛前三名；</w:t>
      </w:r>
    </w:p>
    <w:p w14:paraId="5EC40C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注意：考生所获成绩及奖项仅限于报所对应的专业项目。</w:t>
      </w:r>
    </w:p>
    <w:p w14:paraId="0EFC5BF4">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left="561"/>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三、报</w:t>
      </w:r>
      <w:r>
        <w:rPr>
          <w:rFonts w:hint="eastAsia" w:ascii="仿宋_GB2312" w:hAnsi="仿宋_GB2312" w:eastAsia="仿宋_GB2312" w:cs="仿宋_GB2312"/>
          <w:b/>
          <w:bCs/>
          <w:color w:val="auto"/>
          <w:sz w:val="32"/>
          <w:szCs w:val="32"/>
          <w:lang w:val="en-US" w:eastAsia="zh-CN"/>
        </w:rPr>
        <w:t>考</w:t>
      </w:r>
      <w:r>
        <w:rPr>
          <w:rFonts w:hint="eastAsia" w:ascii="仿宋_GB2312" w:hAnsi="仿宋_GB2312" w:eastAsia="仿宋_GB2312" w:cs="仿宋_GB2312"/>
          <w:b/>
          <w:bCs/>
          <w:color w:val="auto"/>
          <w:sz w:val="32"/>
          <w:szCs w:val="32"/>
        </w:rPr>
        <w:t>流程</w:t>
      </w:r>
    </w:p>
    <w:p w14:paraId="019769E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考生按规定时间和内容提交体育特长生资格认定申请材料。</w:t>
      </w:r>
    </w:p>
    <w:p w14:paraId="206C5DB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2.考生提交的体育特长生资格认定申请材料经我院审核认定后，方可登录湖南省普通高校招生考试考生综合信息平台（网址：https://ks.hneao.cn）或“潇湘高考”APP填报我院对应体育特长生类别的志愿。</w:t>
      </w:r>
    </w:p>
    <w:p w14:paraId="2F3C836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注意事项</w:t>
      </w:r>
      <w:r>
        <w:rPr>
          <w:rFonts w:hint="eastAsia" w:ascii="仿宋_GB2312" w:hAnsi="仿宋_GB2312" w:eastAsia="仿宋_GB2312" w:cs="仿宋_GB2312"/>
          <w:color w:val="auto"/>
          <w:sz w:val="32"/>
          <w:szCs w:val="32"/>
          <w:lang w:val="en-US" w:eastAsia="zh-CN"/>
        </w:rPr>
        <w:t>：</w:t>
      </w:r>
    </w:p>
    <w:p w14:paraId="261A4A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报</w:t>
      </w:r>
      <w:r>
        <w:rPr>
          <w:rFonts w:hint="eastAsia" w:ascii="仿宋_GB2312" w:hAnsi="仿宋_GB2312" w:eastAsia="仿宋_GB2312" w:cs="仿宋_GB2312"/>
          <w:color w:val="auto"/>
          <w:sz w:val="32"/>
          <w:szCs w:val="32"/>
          <w:lang w:val="en-US" w:eastAsia="zh-CN"/>
        </w:rPr>
        <w:t>考</w:t>
      </w: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sz w:val="32"/>
          <w:szCs w:val="32"/>
          <w:lang w:val="en-US" w:eastAsia="zh-CN"/>
        </w:rPr>
        <w:t>2025年2月18日至2月25日</w:t>
      </w:r>
      <w:r>
        <w:rPr>
          <w:rFonts w:hint="eastAsia" w:ascii="仿宋_GB2312" w:hAnsi="仿宋_GB2312" w:eastAsia="仿宋_GB2312" w:cs="仿宋_GB2312"/>
          <w:color w:val="auto"/>
          <w:sz w:val="32"/>
          <w:szCs w:val="32"/>
          <w:lang w:eastAsia="zh-CN"/>
        </w:rPr>
        <w:t>。</w:t>
      </w:r>
    </w:p>
    <w:p w14:paraId="4C9B635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（2）我院体育特长生只录取第一志愿考生，请有意愿的考生在第一志愿学校中填报我院，并确定报考专业。</w:t>
      </w:r>
    </w:p>
    <w:p w14:paraId="051C81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（3）不能提供有关证明材料、认定不符合体育特长生要求的考生只能以应届普通高中毕业考生身份或中职考生和往届普通高中考生及同等学力考生身份在志愿填报期间填报对应类别志愿专业。</w:t>
      </w:r>
    </w:p>
    <w:p w14:paraId="7CD732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志愿类别填报错误造成的后果，由考生本人承担。</w:t>
      </w:r>
    </w:p>
    <w:p w14:paraId="1D419A0D">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left="561"/>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四、资格</w:t>
      </w:r>
      <w:r>
        <w:rPr>
          <w:rFonts w:hint="eastAsia" w:ascii="仿宋_GB2312" w:hAnsi="仿宋_GB2312" w:eastAsia="仿宋_GB2312" w:cs="仿宋_GB2312"/>
          <w:b/>
          <w:bCs/>
          <w:color w:val="auto"/>
          <w:sz w:val="32"/>
          <w:szCs w:val="32"/>
          <w:lang w:val="en-US" w:eastAsia="zh-CN"/>
        </w:rPr>
        <w:t>认定</w:t>
      </w:r>
    </w:p>
    <w:p w14:paraId="2DD54A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有意向报考我院体育特长生的考生须在2月22日8:00前，</w:t>
      </w:r>
      <w:r>
        <w:rPr>
          <w:rFonts w:hint="eastAsia" w:ascii="仿宋_GB2312" w:hAnsi="仿宋_GB2312" w:eastAsia="仿宋_GB2312" w:cs="仿宋_GB2312"/>
          <w:color w:val="auto"/>
          <w:sz w:val="32"/>
          <w:szCs w:val="32"/>
          <w:u w:val="none"/>
          <w:lang w:val="en-US" w:eastAsia="zh-CN"/>
        </w:rPr>
        <w:t>将体育特长测试申请及资格证明材料原件扫描件</w:t>
      </w:r>
      <w:r>
        <w:rPr>
          <w:rFonts w:hint="eastAsia" w:ascii="仿宋_GB2312" w:hAnsi="仿宋_GB2312" w:eastAsia="仿宋_GB2312" w:cs="仿宋_GB2312"/>
          <w:color w:val="auto"/>
          <w:sz w:val="32"/>
          <w:szCs w:val="32"/>
          <w:lang w:val="en-US" w:eastAsia="zh-CN"/>
        </w:rPr>
        <w:t>，通过</w:t>
      </w:r>
      <w:r>
        <w:rPr>
          <w:rFonts w:hint="eastAsia" w:ascii="仿宋_GB2312" w:hAnsi="仿宋_GB2312" w:eastAsia="仿宋_GB2312" w:cs="仿宋_GB2312"/>
          <w:color w:val="auto"/>
          <w:sz w:val="32"/>
          <w:szCs w:val="32"/>
          <w:u w:val="none"/>
          <w:lang w:val="en-US" w:eastAsia="zh-CN"/>
        </w:rPr>
        <w:t>电子邮件</w:t>
      </w:r>
      <w:r>
        <w:rPr>
          <w:rFonts w:hint="eastAsia" w:ascii="仿宋_GB2312" w:hAnsi="仿宋_GB2312" w:eastAsia="仿宋_GB2312" w:cs="仿宋_GB2312"/>
          <w:color w:val="auto"/>
          <w:sz w:val="32"/>
          <w:szCs w:val="32"/>
          <w:lang w:val="en-US" w:eastAsia="zh-CN"/>
        </w:rPr>
        <w:t>的方式发送至2057842588@qq.com邮箱进行审核，邮件主题及附件文件名均命名为“体育特长项目名称+考生号+考生姓名(例：武术套路+2543XXXXXX2025+李雷)”。</w:t>
      </w:r>
    </w:p>
    <w:p w14:paraId="152ABAC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资格认定通过后方可取得体育特长生报考资格，未通过的考生只能报考我院普通类别单招。具体事项如下：</w:t>
      </w:r>
    </w:p>
    <w:p w14:paraId="432891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考生登录湖南司法警官职业学院招生网（http://www.hnsfjy.cn/zsb/），在“下载中心”栏目下载打印《湖南司法警官职业学院2025年单独招生体育特长测试申请表》，并在申请表“照片”位置须粘贴1寸近期正面彩色免冠照片后由本人如实手写。</w:t>
      </w:r>
    </w:p>
    <w:p w14:paraId="13681C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2.报考材料扫描件包括：</w:t>
      </w:r>
    </w:p>
    <w:p w14:paraId="4F9F39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（1）《湖南司法警官职业学院2025年单独招生体育特长测试申请表》；</w:t>
      </w:r>
    </w:p>
    <w:p w14:paraId="6684625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（2）身份证正反两面；</w:t>
      </w:r>
    </w:p>
    <w:p w14:paraId="225795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（3）特长项目等级证书（该证书须在国家相关等级综合查询系统可查询，如有证书正在办理中，请提供相关部门的证明材料）；</w:t>
      </w:r>
    </w:p>
    <w:p w14:paraId="62B992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（4）相关比赛获奖证书；</w:t>
      </w:r>
    </w:p>
    <w:p w14:paraId="5E58480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（5）报考条件中要求提供的其他证明材料。</w:t>
      </w:r>
    </w:p>
    <w:p w14:paraId="295FA0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3.学院对考生的报名材料进行审核。2025年2月24日后，考生可登陆学院招生网查询是否具有参加体育特长测试的资格。</w:t>
      </w:r>
    </w:p>
    <w:p w14:paraId="7D41A0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考生须对本人报考材料的真实性和完整性负责。提供虚假证明材料通过资格认定的考生，将依据教育部相关规定取消其当年高考报名、考试和录取资格。资格认定申请材料不完整、不清晰而影响资格审核结果，责任由考生本人承担。</w:t>
      </w:r>
    </w:p>
    <w:p w14:paraId="1F2AA790">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left="561"/>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五、现场确认</w:t>
      </w:r>
    </w:p>
    <w:p w14:paraId="4AF0E30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取得特长生报考资格的考生，请于</w:t>
      </w:r>
      <w:r>
        <w:rPr>
          <w:rFonts w:hint="eastAsia" w:ascii="仿宋_GB2312" w:hAnsi="仿宋_GB2312" w:eastAsia="仿宋_GB2312" w:cs="仿宋_GB2312"/>
          <w:color w:val="auto"/>
          <w:sz w:val="32"/>
          <w:szCs w:val="32"/>
          <w:lang w:val="en-US" w:eastAsia="zh-CN"/>
        </w:rPr>
        <w:t>2025年3月8日</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eastAsia="zh-CN"/>
        </w:rPr>
        <w:t>在我</w:t>
      </w:r>
      <w:r>
        <w:rPr>
          <w:rFonts w:hint="eastAsia" w:ascii="仿宋_GB2312" w:hAnsi="仿宋_GB2312" w:eastAsia="仿宋_GB2312" w:cs="仿宋_GB2312"/>
          <w:color w:val="auto"/>
          <w:sz w:val="32"/>
          <w:szCs w:val="32"/>
          <w:lang w:val="en-US" w:eastAsia="zh-CN"/>
        </w:rPr>
        <w:t>院</w:t>
      </w:r>
      <w:r>
        <w:rPr>
          <w:rFonts w:hint="eastAsia" w:ascii="仿宋_GB2312" w:hAnsi="仿宋_GB2312" w:eastAsia="仿宋_GB2312" w:cs="仿宋_GB2312"/>
          <w:color w:val="auto"/>
          <w:sz w:val="32"/>
          <w:szCs w:val="32"/>
          <w:lang w:eastAsia="zh-CN"/>
        </w:rPr>
        <w:t>专项测试开始前，进行现场确认。</w:t>
      </w:r>
      <w:bookmarkStart w:id="0" w:name="_Hlk92982592"/>
      <w:r>
        <w:rPr>
          <w:rFonts w:hint="eastAsia" w:ascii="仿宋_GB2312" w:hAnsi="仿宋_GB2312" w:eastAsia="仿宋_GB2312" w:cs="仿宋_GB2312"/>
          <w:color w:val="auto"/>
          <w:sz w:val="32"/>
          <w:szCs w:val="32"/>
          <w:lang w:eastAsia="zh-CN"/>
        </w:rPr>
        <w:t>具体事项如下：</w:t>
      </w:r>
    </w:p>
    <w:p w14:paraId="18C663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确认地点：湖南司法警官职业学院</w:t>
      </w:r>
    </w:p>
    <w:p w14:paraId="2389B5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详细的确认时间、地点及流程请见学院招生网。</w:t>
      </w:r>
    </w:p>
    <w:p w14:paraId="6BA3702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现场确认需准备的材料：</w:t>
      </w:r>
    </w:p>
    <w:p w14:paraId="477F64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1.两张</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寸近期正面彩色免冠照片；</w:t>
      </w:r>
    </w:p>
    <w:p w14:paraId="2EB51A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2.身份证原件；</w:t>
      </w:r>
    </w:p>
    <w:p w14:paraId="08B0DCC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3.特长项目等级证书原件；</w:t>
      </w:r>
    </w:p>
    <w:p w14:paraId="43BEFF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4.相关比赛获奖证书原件；</w:t>
      </w:r>
    </w:p>
    <w:p w14:paraId="014D202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5.报考条件中要求提供的其他证明材料原件。</w:t>
      </w:r>
    </w:p>
    <w:bookmarkEnd w:id="0"/>
    <w:p w14:paraId="001669FF">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left="561"/>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六、专项测试</w:t>
      </w:r>
    </w:p>
    <w:p w14:paraId="21F983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1.测试时间及地点。</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lang w:val="en-US" w:eastAsia="zh-CN"/>
        </w:rPr>
        <w:t>院</w:t>
      </w:r>
      <w:r>
        <w:rPr>
          <w:rFonts w:hint="eastAsia" w:ascii="仿宋_GB2312" w:hAnsi="仿宋_GB2312" w:eastAsia="仿宋_GB2312" w:cs="仿宋_GB2312"/>
          <w:color w:val="auto"/>
          <w:sz w:val="32"/>
          <w:szCs w:val="32"/>
          <w:lang w:eastAsia="zh-CN"/>
        </w:rPr>
        <w:t>体育特长生专项</w:t>
      </w:r>
      <w:r>
        <w:rPr>
          <w:rFonts w:hint="eastAsia" w:ascii="仿宋_GB2312" w:hAnsi="仿宋_GB2312" w:eastAsia="仿宋_GB2312" w:cs="仿宋_GB2312"/>
          <w:color w:val="auto"/>
          <w:sz w:val="32"/>
          <w:szCs w:val="32"/>
        </w:rPr>
        <w:t>测试</w:t>
      </w:r>
      <w:r>
        <w:rPr>
          <w:rFonts w:hint="eastAsia" w:ascii="仿宋_GB2312" w:hAnsi="仿宋_GB2312" w:eastAsia="仿宋_GB2312" w:cs="仿宋_GB2312"/>
          <w:color w:val="auto"/>
          <w:sz w:val="32"/>
          <w:szCs w:val="32"/>
          <w:lang w:eastAsia="zh-CN"/>
        </w:rPr>
        <w:t>安排在</w:t>
      </w:r>
      <w:r>
        <w:rPr>
          <w:rFonts w:hint="eastAsia" w:ascii="仿宋_GB2312" w:hAnsi="仿宋_GB2312" w:eastAsia="仿宋_GB2312" w:cs="仿宋_GB2312"/>
          <w:color w:val="auto"/>
          <w:sz w:val="32"/>
          <w:szCs w:val="32"/>
          <w:lang w:val="en-US" w:eastAsia="zh-CN"/>
        </w:rPr>
        <w:t>2025年3月8日</w:t>
      </w:r>
      <w:r>
        <w:rPr>
          <w:rFonts w:hint="eastAsia" w:ascii="仿宋_GB2312" w:hAnsi="仿宋_GB2312" w:eastAsia="仿宋_GB2312" w:cs="仿宋_GB2312"/>
          <w:color w:val="auto"/>
          <w:sz w:val="32"/>
          <w:szCs w:val="32"/>
          <w:lang w:eastAsia="zh-CN"/>
        </w:rPr>
        <w:t>，详细的测试时间、地点及流程请见学院招生网。</w:t>
      </w:r>
    </w:p>
    <w:p w14:paraId="685A25FE">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2.考生必须在规定的时间、地点持身份证和准考证原件参加体育特长测试，否则视为放弃测试资格。</w:t>
      </w:r>
    </w:p>
    <w:p w14:paraId="430AFB71">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3.特长测试标准严格按照学院制订的测试方法与评分标准执行。</w:t>
      </w:r>
    </w:p>
    <w:p w14:paraId="232264E6">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4.考生要注意测试期间的安全，建议购买个人“人身意外伤害保险”，在测试期间因自身原因发生的意外由考生本人负责。</w:t>
      </w:r>
    </w:p>
    <w:p w14:paraId="0B9A33B6">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5.测试若遇不可抗力因素不能按期进行，测试时间将在学院招生网另行通知。</w:t>
      </w:r>
    </w:p>
    <w:p w14:paraId="4D4C0479">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七、合格考生名单确定与公示</w:t>
      </w:r>
    </w:p>
    <w:p w14:paraId="04D59690">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学院按照择优录取、宁缺毋滥的原则，依据各项目的测试标准，划定各项目的测试合格线，确定体育特长测试合格考生名单，并在学院招生网上公示3天。</w:t>
      </w:r>
    </w:p>
    <w:p w14:paraId="64ECC24C">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录取原则</w:t>
      </w:r>
    </w:p>
    <w:p w14:paraId="0DAF9878">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bookmarkStart w:id="1" w:name="_GoBack"/>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u w:val="none"/>
          <w:lang w:val="en-US" w:eastAsia="zh-CN"/>
        </w:rPr>
        <w:t>凡报考我院体育特长生项目的考生</w:t>
      </w:r>
      <w:r>
        <w:rPr>
          <w:rFonts w:hint="eastAsia" w:ascii="仿宋_GB2312" w:hAnsi="仿宋_GB2312" w:eastAsia="仿宋_GB2312" w:cs="仿宋_GB2312"/>
          <w:b w:val="0"/>
          <w:bCs w:val="0"/>
          <w:color w:val="auto"/>
          <w:sz w:val="32"/>
          <w:szCs w:val="32"/>
          <w:lang w:eastAsia="zh-CN"/>
        </w:rPr>
        <w:t>可在所有单招专业中任选2个专业，并确定是否选择专业服从调剂</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且</w:t>
      </w:r>
      <w:r>
        <w:rPr>
          <w:rFonts w:hint="eastAsia" w:ascii="仿宋_GB2312" w:hAnsi="仿宋_GB2312" w:eastAsia="仿宋_GB2312" w:cs="仿宋_GB2312"/>
          <w:b w:val="0"/>
          <w:bCs w:val="0"/>
          <w:color w:val="auto"/>
          <w:sz w:val="32"/>
          <w:szCs w:val="32"/>
          <w:u w:val="none"/>
          <w:lang w:val="en-US" w:eastAsia="zh-CN"/>
        </w:rPr>
        <w:t>均须参加我院统一组织的特长测试，特长测试合格者方有资格参加特长生录取。</w:t>
      </w:r>
      <w:r>
        <w:rPr>
          <w:rFonts w:hint="eastAsia" w:ascii="仿宋_GB2312" w:hAnsi="仿宋_GB2312" w:eastAsia="仿宋_GB2312" w:cs="仿宋_GB2312"/>
          <w:b w:val="0"/>
          <w:bCs w:val="0"/>
          <w:color w:val="auto"/>
          <w:sz w:val="32"/>
          <w:szCs w:val="32"/>
          <w:lang w:eastAsia="zh-CN"/>
        </w:rPr>
        <w:t>同一个招生专业录取体育特长生的人数分别不超过</w:t>
      </w:r>
      <w:r>
        <w:rPr>
          <w:rFonts w:hint="eastAsia" w:ascii="仿宋_GB2312" w:hAnsi="仿宋_GB2312" w:eastAsia="仿宋_GB2312" w:cs="仿宋_GB2312"/>
          <w:b w:val="0"/>
          <w:bCs w:val="0"/>
          <w:color w:val="auto"/>
          <w:sz w:val="32"/>
          <w:szCs w:val="32"/>
          <w:u w:val="none"/>
          <w:lang w:val="en-US" w:eastAsia="zh-CN"/>
        </w:rPr>
        <w:t>3人。</w:t>
      </w:r>
    </w:p>
    <w:p w14:paraId="1AB4234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2.综合成绩计算方式：</w:t>
      </w:r>
      <w:r>
        <w:rPr>
          <w:rFonts w:hint="eastAsia" w:ascii="仿宋_GB2312" w:hAnsi="仿宋_GB2312" w:eastAsia="仿宋_GB2312" w:cs="仿宋_GB2312"/>
          <w:color w:val="auto"/>
          <w:sz w:val="32"/>
          <w:szCs w:val="32"/>
        </w:rPr>
        <w:t>综合成绩=文化素质测试成绩×30%+体育专项测试成绩×70%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文化素质测试总分为300分，体育专项测试成绩总分为300分。</w:t>
      </w:r>
    </w:p>
    <w:p w14:paraId="14F160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3.录取办法：严格按照专业小项的计划数，依据取得合格资格考生的综合成绩从高分到低分进行排序录取。</w:t>
      </w:r>
      <w:r>
        <w:rPr>
          <w:rFonts w:hint="eastAsia" w:ascii="仿宋_GB2312" w:hAnsi="仿宋_GB2312" w:eastAsia="仿宋_GB2312" w:cs="仿宋_GB2312"/>
          <w:color w:val="auto"/>
          <w:sz w:val="32"/>
          <w:szCs w:val="32"/>
          <w:u w:val="none"/>
          <w:lang w:val="en-US" w:eastAsia="zh-CN"/>
        </w:rPr>
        <w:t>如某项目生源不足，剩余计划可依以下项目顺序进行调剂录取，具体的调剂项目顺序为：乒乓球、田径、</w:t>
      </w:r>
      <w:r>
        <w:rPr>
          <w:rFonts w:hint="eastAsia" w:ascii="仿宋_GB2312" w:hAnsi="仿宋_GB2312" w:eastAsia="仿宋_GB2312" w:cs="仿宋_GB2312"/>
          <w:color w:val="auto"/>
          <w:sz w:val="32"/>
          <w:szCs w:val="32"/>
          <w:lang w:val="en-US" w:eastAsia="zh-CN"/>
        </w:rPr>
        <w:t>跆拳道、</w:t>
      </w:r>
      <w:r>
        <w:rPr>
          <w:rFonts w:hint="eastAsia" w:ascii="仿宋_GB2312" w:hAnsi="仿宋_GB2312" w:eastAsia="仿宋_GB2312" w:cs="仿宋_GB2312"/>
          <w:color w:val="auto"/>
          <w:sz w:val="32"/>
          <w:szCs w:val="32"/>
          <w:u w:val="none"/>
          <w:lang w:val="en-US" w:eastAsia="zh-CN"/>
        </w:rPr>
        <w:t>武术套路、散打。如仍然没有完成计划，则转为录取普通类单招计划</w:t>
      </w:r>
      <w:r>
        <w:rPr>
          <w:rFonts w:hint="eastAsia" w:ascii="仿宋_GB2312" w:hAnsi="仿宋_GB2312" w:eastAsia="仿宋_GB2312" w:cs="仿宋_GB2312"/>
          <w:color w:val="auto"/>
          <w:sz w:val="32"/>
          <w:szCs w:val="32"/>
          <w:u w:val="none"/>
          <w:lang w:val="en-US" w:eastAsia="zh-CN"/>
        </w:rPr>
        <w:t>。</w:t>
      </w:r>
    </w:p>
    <w:bookmarkEnd w:id="1"/>
    <w:p w14:paraId="1553E15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4.严禁考生替代考试、服用违禁药品参加测试等违法违规行为，如发现此类情况，将取消其录取资格。</w:t>
      </w:r>
    </w:p>
    <w:p w14:paraId="178549E1">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left="561"/>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九、入校复查</w:t>
      </w:r>
    </w:p>
    <w:p w14:paraId="0C15DC04">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新生入学后3个月内，学</w:t>
      </w:r>
      <w:r>
        <w:rPr>
          <w:rFonts w:hint="eastAsia" w:ascii="仿宋_GB2312" w:hAnsi="仿宋_GB2312" w:eastAsia="仿宋_GB2312" w:cs="仿宋_GB2312"/>
          <w:color w:val="auto"/>
          <w:kern w:val="2"/>
          <w:sz w:val="32"/>
          <w:szCs w:val="32"/>
          <w:lang w:val="en-US" w:eastAsia="zh-CN"/>
        </w:rPr>
        <w:t>院</w:t>
      </w:r>
      <w:r>
        <w:rPr>
          <w:rFonts w:hint="eastAsia" w:ascii="仿宋_GB2312" w:hAnsi="仿宋_GB2312" w:eastAsia="仿宋_GB2312" w:cs="仿宋_GB2312"/>
          <w:color w:val="auto"/>
          <w:kern w:val="2"/>
          <w:sz w:val="32"/>
          <w:szCs w:val="32"/>
        </w:rPr>
        <w:t>按照招生政策规定对新生报名资格、身心状况、录取手续及程序、录取资格、优惠资格及相关证明材料等进行复查复核。对复查复核发现的问题，学</w:t>
      </w:r>
      <w:r>
        <w:rPr>
          <w:rFonts w:hint="eastAsia" w:ascii="仿宋_GB2312" w:hAnsi="仿宋_GB2312" w:eastAsia="仿宋_GB2312" w:cs="仿宋_GB2312"/>
          <w:color w:val="auto"/>
          <w:kern w:val="2"/>
          <w:sz w:val="32"/>
          <w:szCs w:val="32"/>
          <w:lang w:val="en-US" w:eastAsia="zh-CN"/>
        </w:rPr>
        <w:t>院</w:t>
      </w:r>
      <w:r>
        <w:rPr>
          <w:rFonts w:hint="eastAsia" w:ascii="仿宋_GB2312" w:hAnsi="仿宋_GB2312" w:eastAsia="仿宋_GB2312" w:cs="仿宋_GB2312"/>
          <w:color w:val="auto"/>
          <w:kern w:val="2"/>
          <w:sz w:val="32"/>
          <w:szCs w:val="32"/>
        </w:rPr>
        <w:t>将集中研究处理，凡属弄虚作假者，一经查实，取消其入学资格。对于弄虚作假情节严重或涉嫌冒名顶替上大学的，移送相关部门调查处理。</w:t>
      </w:r>
    </w:p>
    <w:p w14:paraId="1E709F2F">
      <w:pPr>
        <w:keepNext w:val="0"/>
        <w:keepLines w:val="0"/>
        <w:pageBreakBefore w:val="0"/>
        <w:widowControl/>
        <w:shd w:val="clear" w:color="auto" w:fill="FFFFFF"/>
        <w:kinsoku/>
        <w:wordWrap/>
        <w:overflowPunct/>
        <w:topLinePunct w:val="0"/>
        <w:autoSpaceDE/>
        <w:autoSpaceDN/>
        <w:bidi w:val="0"/>
        <w:adjustRightInd/>
        <w:snapToGrid/>
        <w:spacing w:before="62" w:beforeLines="20" w:line="560" w:lineRule="exact"/>
        <w:ind w:left="561"/>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十、监督机制</w:t>
      </w:r>
    </w:p>
    <w:p w14:paraId="7FBFEEBA">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shd w:val="clear" w:color="auto" w:fill="FFFFFF"/>
        </w:rPr>
      </w:pPr>
      <w:r>
        <w:rPr>
          <w:rFonts w:hint="eastAsia" w:ascii="仿宋_GB2312" w:hAnsi="仿宋_GB2312" w:eastAsia="仿宋_GB2312" w:cs="仿宋_GB2312"/>
          <w:color w:val="auto"/>
          <w:kern w:val="2"/>
          <w:sz w:val="32"/>
          <w:szCs w:val="32"/>
          <w:shd w:val="clear" w:color="auto" w:fill="FFFFFF"/>
          <w:lang w:eastAsia="zh-CN"/>
        </w:rPr>
        <w:t>我</w:t>
      </w:r>
      <w:r>
        <w:rPr>
          <w:rFonts w:hint="eastAsia" w:ascii="仿宋_GB2312" w:hAnsi="仿宋_GB2312" w:eastAsia="仿宋_GB2312" w:cs="仿宋_GB2312"/>
          <w:color w:val="auto"/>
          <w:kern w:val="2"/>
          <w:sz w:val="32"/>
          <w:szCs w:val="32"/>
          <w:shd w:val="clear" w:color="auto" w:fill="FFFFFF"/>
          <w:lang w:val="en-US" w:eastAsia="zh-CN"/>
        </w:rPr>
        <w:t>院</w:t>
      </w:r>
      <w:r>
        <w:rPr>
          <w:rFonts w:hint="eastAsia" w:ascii="仿宋_GB2312" w:hAnsi="仿宋_GB2312" w:eastAsia="仿宋_GB2312" w:cs="仿宋_GB2312"/>
          <w:color w:val="auto"/>
          <w:kern w:val="2"/>
          <w:sz w:val="32"/>
          <w:szCs w:val="32"/>
          <w:shd w:val="clear" w:color="auto" w:fill="FFFFFF"/>
          <w:lang w:eastAsia="zh-CN"/>
        </w:rPr>
        <w:t>纪委（</w:t>
      </w:r>
      <w:r>
        <w:rPr>
          <w:rFonts w:hint="eastAsia" w:ascii="仿宋_GB2312" w:hAnsi="仿宋_GB2312" w:eastAsia="仿宋_GB2312" w:cs="仿宋_GB2312"/>
          <w:color w:val="auto"/>
          <w:kern w:val="2"/>
          <w:sz w:val="32"/>
          <w:szCs w:val="32"/>
          <w:shd w:val="clear" w:color="auto" w:fill="FFFFFF"/>
          <w:lang w:val="en-US" w:eastAsia="zh-CN"/>
        </w:rPr>
        <w:t>监察室</w:t>
      </w:r>
      <w:r>
        <w:rPr>
          <w:rFonts w:hint="eastAsia" w:ascii="仿宋_GB2312" w:hAnsi="仿宋_GB2312" w:eastAsia="仿宋_GB2312" w:cs="仿宋_GB2312"/>
          <w:color w:val="auto"/>
          <w:kern w:val="2"/>
          <w:sz w:val="32"/>
          <w:szCs w:val="32"/>
          <w:shd w:val="clear" w:color="auto" w:fill="FFFFFF"/>
          <w:lang w:eastAsia="zh-CN"/>
        </w:rPr>
        <w:t>）对特长生招生考试工作进行全程监督，如发现我</w:t>
      </w:r>
      <w:r>
        <w:rPr>
          <w:rFonts w:hint="eastAsia" w:ascii="仿宋_GB2312" w:hAnsi="仿宋_GB2312" w:eastAsia="仿宋_GB2312" w:cs="仿宋_GB2312"/>
          <w:color w:val="auto"/>
          <w:kern w:val="2"/>
          <w:sz w:val="32"/>
          <w:szCs w:val="32"/>
          <w:shd w:val="clear" w:color="auto" w:fill="FFFFFF"/>
          <w:lang w:val="en-US" w:eastAsia="zh-CN"/>
        </w:rPr>
        <w:t>院</w:t>
      </w:r>
      <w:r>
        <w:rPr>
          <w:rFonts w:hint="eastAsia" w:ascii="仿宋_GB2312" w:hAnsi="仿宋_GB2312" w:eastAsia="仿宋_GB2312" w:cs="仿宋_GB2312"/>
          <w:color w:val="auto"/>
          <w:kern w:val="2"/>
          <w:sz w:val="32"/>
          <w:szCs w:val="32"/>
          <w:shd w:val="clear" w:color="auto" w:fill="FFFFFF"/>
          <w:lang w:eastAsia="zh-CN"/>
        </w:rPr>
        <w:t>特长生招生工作存在违纪违规行为，请直接向我</w:t>
      </w:r>
      <w:r>
        <w:rPr>
          <w:rFonts w:hint="eastAsia" w:ascii="仿宋_GB2312" w:hAnsi="仿宋_GB2312" w:eastAsia="仿宋_GB2312" w:cs="仿宋_GB2312"/>
          <w:color w:val="auto"/>
          <w:kern w:val="2"/>
          <w:sz w:val="32"/>
          <w:szCs w:val="32"/>
          <w:shd w:val="clear" w:color="auto" w:fill="FFFFFF"/>
          <w:lang w:val="en-US" w:eastAsia="zh-CN"/>
        </w:rPr>
        <w:t>院</w:t>
      </w:r>
      <w:r>
        <w:rPr>
          <w:rFonts w:hint="eastAsia" w:ascii="仿宋_GB2312" w:hAnsi="仿宋_GB2312" w:eastAsia="仿宋_GB2312" w:cs="仿宋_GB2312"/>
          <w:color w:val="auto"/>
          <w:kern w:val="2"/>
          <w:sz w:val="32"/>
          <w:szCs w:val="32"/>
          <w:shd w:val="clear" w:color="auto" w:fill="FFFFFF"/>
          <w:lang w:eastAsia="zh-CN"/>
        </w:rPr>
        <w:t>纪委（监察室）反映，</w:t>
      </w:r>
      <w:r>
        <w:rPr>
          <w:rFonts w:hint="eastAsia" w:ascii="仿宋_GB2312" w:hAnsi="仿宋_GB2312" w:eastAsia="仿宋_GB2312" w:cs="仿宋_GB2312"/>
          <w:color w:val="auto"/>
          <w:kern w:val="2"/>
          <w:sz w:val="32"/>
          <w:szCs w:val="32"/>
          <w:shd w:val="clear" w:color="auto" w:fill="FFFFFF"/>
        </w:rPr>
        <w:t>监督电话</w:t>
      </w:r>
      <w:r>
        <w:rPr>
          <w:rFonts w:hint="eastAsia" w:ascii="仿宋_GB2312" w:hAnsi="仿宋_GB2312" w:eastAsia="仿宋_GB2312" w:cs="仿宋_GB2312"/>
          <w:color w:val="auto"/>
          <w:kern w:val="2"/>
          <w:sz w:val="32"/>
          <w:szCs w:val="32"/>
          <w:u w:val="none"/>
          <w:shd w:val="clear" w:color="auto" w:fill="FFFFFF"/>
          <w:lang w:eastAsia="zh-CN"/>
        </w:rPr>
        <w:t>：</w:t>
      </w:r>
      <w:r>
        <w:rPr>
          <w:rFonts w:hint="eastAsia" w:ascii="仿宋_GB2312" w:hAnsi="仿宋_GB2312" w:eastAsia="仿宋_GB2312" w:cs="仿宋_GB2312"/>
          <w:color w:val="auto"/>
          <w:kern w:val="2"/>
          <w:sz w:val="32"/>
          <w:szCs w:val="32"/>
          <w:u w:val="none"/>
          <w:shd w:val="clear" w:color="auto" w:fill="FFFFFF"/>
          <w:lang w:val="en-US" w:eastAsia="zh-CN"/>
        </w:rPr>
        <w:t>0731-82693042</w:t>
      </w:r>
      <w:r>
        <w:rPr>
          <w:rFonts w:hint="eastAsia" w:ascii="仿宋_GB2312" w:hAnsi="仿宋_GB2312" w:eastAsia="仿宋_GB2312" w:cs="仿宋_GB2312"/>
          <w:color w:val="auto"/>
          <w:kern w:val="2"/>
          <w:sz w:val="32"/>
          <w:szCs w:val="32"/>
          <w:u w:val="none"/>
          <w:shd w:val="clear" w:color="auto" w:fill="FFFFFF"/>
        </w:rPr>
        <w:t>。</w:t>
      </w:r>
    </w:p>
    <w:p w14:paraId="439DD5B6">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62" w:beforeLines="20" w:line="560" w:lineRule="exact"/>
        <w:ind w:left="561"/>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联系方式</w:t>
      </w:r>
    </w:p>
    <w:p w14:paraId="3A944BD2">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咨询电话：0731-82693036、82693116（招就处）</w:t>
      </w:r>
    </w:p>
    <w:p w14:paraId="11CA5494">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2240" w:firstLineChars="7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0731-82693022（警体部）</w:t>
      </w:r>
    </w:p>
    <w:p w14:paraId="3A18E080">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信息发布网址：http://www.hnsfjy.cn/zsb/</w:t>
      </w:r>
    </w:p>
    <w:p w14:paraId="05FC7A3B">
      <w:pPr>
        <w:pStyle w:val="6"/>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561" w:leftChars="0" w:firstLine="0" w:firstLineChars="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其他事项</w:t>
      </w:r>
    </w:p>
    <w:p w14:paraId="3CEB78C6">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本方案适用于我院2025年体育特长生高职单招。其解释权属于湖南司法警官职业学院。如遇教育部、湖南省教育厅相关招生政策调整，以公布的最新政策为准。</w:t>
      </w:r>
    </w:p>
    <w:p w14:paraId="7A425128">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4EBBFAF6">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0338900A">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14:paraId="3663521B">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小标宋简体" w:hAnsi="方正小标宋简体" w:eastAsia="方正小标宋简体" w:cs="方正小标宋简体"/>
          <w:color w:val="auto"/>
          <w:kern w:val="2"/>
          <w:sz w:val="36"/>
          <w:szCs w:val="36"/>
          <w:lang w:val="en-US" w:eastAsia="zh-CN" w:bidi="ar-SA"/>
        </w:rPr>
      </w:pPr>
      <w:r>
        <w:rPr>
          <w:rFonts w:hint="eastAsia" w:ascii="仿宋_GB2312" w:hAnsi="仿宋_GB2312" w:eastAsia="仿宋_GB2312" w:cs="仿宋_GB2312"/>
          <w:color w:val="auto"/>
          <w:kern w:val="2"/>
          <w:sz w:val="32"/>
          <w:szCs w:val="32"/>
          <w:lang w:val="en-US" w:eastAsia="zh-CN" w:bidi="ar-SA"/>
        </w:rPr>
        <w:t>附件：专项测试办法及评分细则</w:t>
      </w:r>
    </w:p>
    <w:p w14:paraId="1000F01C">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color w:val="auto"/>
          <w:kern w:val="2"/>
          <w:sz w:val="36"/>
          <w:szCs w:val="36"/>
          <w:lang w:val="en-US" w:eastAsia="zh-CN" w:bidi="ar-SA"/>
        </w:rPr>
      </w:pPr>
    </w:p>
    <w:p w14:paraId="5C5A5EE4">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auto"/>
          <w:kern w:val="2"/>
          <w:sz w:val="32"/>
          <w:szCs w:val="32"/>
          <w:lang w:val="en-US" w:eastAsia="zh-CN" w:bidi="ar-SA"/>
        </w:rPr>
      </w:pPr>
    </w:p>
    <w:p w14:paraId="2D332657">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auto"/>
          <w:kern w:val="2"/>
          <w:sz w:val="32"/>
          <w:szCs w:val="32"/>
          <w:lang w:val="en-US" w:eastAsia="zh-CN" w:bidi="ar-SA"/>
        </w:rPr>
      </w:pPr>
    </w:p>
    <w:p w14:paraId="1099C2A8">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auto"/>
          <w:kern w:val="2"/>
          <w:sz w:val="32"/>
          <w:szCs w:val="32"/>
          <w:lang w:val="en-US" w:eastAsia="zh-CN" w:bidi="ar-SA"/>
        </w:rPr>
      </w:pPr>
    </w:p>
    <w:p w14:paraId="56312D44">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auto"/>
          <w:kern w:val="2"/>
          <w:sz w:val="32"/>
          <w:szCs w:val="32"/>
          <w:lang w:val="en-US" w:eastAsia="zh-CN" w:bidi="ar-SA"/>
        </w:rPr>
      </w:pPr>
    </w:p>
    <w:p w14:paraId="6E1DAB63">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auto"/>
          <w:kern w:val="2"/>
          <w:sz w:val="32"/>
          <w:szCs w:val="32"/>
          <w:lang w:val="en-US" w:eastAsia="zh-CN" w:bidi="ar-SA"/>
        </w:rPr>
      </w:pPr>
    </w:p>
    <w:p w14:paraId="533513C3">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auto"/>
          <w:kern w:val="2"/>
          <w:sz w:val="32"/>
          <w:szCs w:val="32"/>
          <w:lang w:val="en-US" w:eastAsia="zh-CN" w:bidi="ar-SA"/>
        </w:rPr>
      </w:pPr>
    </w:p>
    <w:p w14:paraId="05787BB6">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auto"/>
          <w:kern w:val="2"/>
          <w:sz w:val="32"/>
          <w:szCs w:val="32"/>
          <w:lang w:val="en-US" w:eastAsia="zh-CN" w:bidi="ar-SA"/>
        </w:rPr>
      </w:pPr>
    </w:p>
    <w:p w14:paraId="36CCE58D">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auto"/>
          <w:kern w:val="2"/>
          <w:sz w:val="32"/>
          <w:szCs w:val="32"/>
          <w:lang w:val="en-US" w:eastAsia="zh-CN" w:bidi="ar-SA"/>
        </w:rPr>
      </w:pPr>
    </w:p>
    <w:p w14:paraId="30087ACE">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auto"/>
          <w:kern w:val="2"/>
          <w:sz w:val="32"/>
          <w:szCs w:val="32"/>
          <w:lang w:val="en-US" w:eastAsia="zh-CN" w:bidi="ar-SA"/>
        </w:rPr>
      </w:pPr>
    </w:p>
    <w:p w14:paraId="2CD0CB9F">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color w:val="auto"/>
          <w:kern w:val="2"/>
          <w:sz w:val="32"/>
          <w:szCs w:val="32"/>
          <w:lang w:val="en-US" w:eastAsia="zh-CN" w:bidi="ar-SA"/>
        </w:rPr>
      </w:pPr>
    </w:p>
    <w:sectPr>
      <w:footerReference r:id="rId3" w:type="default"/>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A3CEB4FA-2360-49A6-84C3-0A8A88FF49F1}"/>
  </w:font>
  <w:font w:name="仿宋_GB2312">
    <w:panose1 w:val="02010609030101010101"/>
    <w:charset w:val="86"/>
    <w:family w:val="auto"/>
    <w:pitch w:val="default"/>
    <w:sig w:usb0="00000001" w:usb1="080E0000" w:usb2="00000000" w:usb3="00000000" w:csb0="00040000" w:csb1="00000000"/>
    <w:embedRegular r:id="rId2" w:fontKey="{3CB01D61-9482-40BF-986B-8CE329790788}"/>
  </w:font>
  <w:font w:name="仿宋">
    <w:panose1 w:val="02010609060101010101"/>
    <w:charset w:val="86"/>
    <w:family w:val="auto"/>
    <w:pitch w:val="default"/>
    <w:sig w:usb0="800002BF" w:usb1="38CF7CFA" w:usb2="00000016" w:usb3="00000000" w:csb0="00040001" w:csb1="00000000"/>
    <w:embedRegular r:id="rId3" w:fontKey="{E910A995-7836-45FE-8C24-DA7C78375D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753213"/>
    </w:sdtPr>
    <w:sdtContent>
      <w:p w14:paraId="1108308F">
        <w:pPr>
          <w:pStyle w:val="4"/>
          <w:jc w:val="center"/>
        </w:pPr>
        <w:r>
          <w:fldChar w:fldCharType="begin"/>
        </w:r>
        <w:r>
          <w:instrText xml:space="preserve">PAGE   \* MERGEFORMAT</w:instrText>
        </w:r>
        <w:r>
          <w:fldChar w:fldCharType="separate"/>
        </w:r>
        <w:r>
          <w:rPr>
            <w:lang w:val="zh-CN"/>
          </w:rPr>
          <w:t>6</w:t>
        </w:r>
        <w:r>
          <w:fldChar w:fldCharType="end"/>
        </w:r>
      </w:p>
    </w:sdtContent>
  </w:sdt>
  <w:p w14:paraId="115AA7A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FDAA7"/>
    <w:multiLevelType w:val="singleLevel"/>
    <w:tmpl w:val="96FFDAA7"/>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jNWIzMmQzNTc1NzhlODY1NGVjZTAyYWUwNzgwMzYifQ=="/>
  </w:docVars>
  <w:rsids>
    <w:rsidRoot w:val="00DF6D61"/>
    <w:rsid w:val="0001164D"/>
    <w:rsid w:val="0002538A"/>
    <w:rsid w:val="00037B88"/>
    <w:rsid w:val="0006661B"/>
    <w:rsid w:val="000907D1"/>
    <w:rsid w:val="00091F90"/>
    <w:rsid w:val="00096861"/>
    <w:rsid w:val="000A2F86"/>
    <w:rsid w:val="000C2D6E"/>
    <w:rsid w:val="000F57CD"/>
    <w:rsid w:val="001267F4"/>
    <w:rsid w:val="0015016C"/>
    <w:rsid w:val="00162A5C"/>
    <w:rsid w:val="001705BF"/>
    <w:rsid w:val="001A6072"/>
    <w:rsid w:val="001C0075"/>
    <w:rsid w:val="001C6791"/>
    <w:rsid w:val="001E544B"/>
    <w:rsid w:val="001F2D48"/>
    <w:rsid w:val="00244E17"/>
    <w:rsid w:val="0026479F"/>
    <w:rsid w:val="00266A4D"/>
    <w:rsid w:val="00272ECC"/>
    <w:rsid w:val="00295852"/>
    <w:rsid w:val="002A6D14"/>
    <w:rsid w:val="002E3330"/>
    <w:rsid w:val="002F3B75"/>
    <w:rsid w:val="00300D00"/>
    <w:rsid w:val="00314564"/>
    <w:rsid w:val="00320989"/>
    <w:rsid w:val="00323CDB"/>
    <w:rsid w:val="00325A77"/>
    <w:rsid w:val="003361CC"/>
    <w:rsid w:val="00347C12"/>
    <w:rsid w:val="00360F83"/>
    <w:rsid w:val="00371F42"/>
    <w:rsid w:val="003732EC"/>
    <w:rsid w:val="00373BEB"/>
    <w:rsid w:val="003B3349"/>
    <w:rsid w:val="003B7D36"/>
    <w:rsid w:val="003D7CF9"/>
    <w:rsid w:val="003E5931"/>
    <w:rsid w:val="003E6A14"/>
    <w:rsid w:val="00407F2E"/>
    <w:rsid w:val="00422517"/>
    <w:rsid w:val="004333D7"/>
    <w:rsid w:val="00434A8A"/>
    <w:rsid w:val="00442444"/>
    <w:rsid w:val="00445D6C"/>
    <w:rsid w:val="004515B1"/>
    <w:rsid w:val="004B0BD1"/>
    <w:rsid w:val="004B6E60"/>
    <w:rsid w:val="004C1E76"/>
    <w:rsid w:val="004C3C0F"/>
    <w:rsid w:val="004C4F58"/>
    <w:rsid w:val="004C5220"/>
    <w:rsid w:val="004D1EE7"/>
    <w:rsid w:val="004E1FD0"/>
    <w:rsid w:val="004E3842"/>
    <w:rsid w:val="004E440F"/>
    <w:rsid w:val="004F1AFB"/>
    <w:rsid w:val="00501CD2"/>
    <w:rsid w:val="0051553F"/>
    <w:rsid w:val="00522749"/>
    <w:rsid w:val="0052730C"/>
    <w:rsid w:val="00546E08"/>
    <w:rsid w:val="005927AC"/>
    <w:rsid w:val="005D40CF"/>
    <w:rsid w:val="005E15A5"/>
    <w:rsid w:val="005E5F54"/>
    <w:rsid w:val="005F41A0"/>
    <w:rsid w:val="006128D3"/>
    <w:rsid w:val="006250FE"/>
    <w:rsid w:val="006312DD"/>
    <w:rsid w:val="00631CAE"/>
    <w:rsid w:val="0064168B"/>
    <w:rsid w:val="00662326"/>
    <w:rsid w:val="00666D58"/>
    <w:rsid w:val="0067080C"/>
    <w:rsid w:val="006801B6"/>
    <w:rsid w:val="00684403"/>
    <w:rsid w:val="00692C63"/>
    <w:rsid w:val="006A181C"/>
    <w:rsid w:val="006E21AB"/>
    <w:rsid w:val="006E2AC5"/>
    <w:rsid w:val="006F63E0"/>
    <w:rsid w:val="007014D1"/>
    <w:rsid w:val="00711CBD"/>
    <w:rsid w:val="00716FB4"/>
    <w:rsid w:val="00735706"/>
    <w:rsid w:val="00743AD1"/>
    <w:rsid w:val="00761E7B"/>
    <w:rsid w:val="00784335"/>
    <w:rsid w:val="007B6E96"/>
    <w:rsid w:val="007C2CDB"/>
    <w:rsid w:val="007E7A7E"/>
    <w:rsid w:val="007F6278"/>
    <w:rsid w:val="0080443C"/>
    <w:rsid w:val="00811303"/>
    <w:rsid w:val="00814730"/>
    <w:rsid w:val="00830BB7"/>
    <w:rsid w:val="00860B44"/>
    <w:rsid w:val="00874B2B"/>
    <w:rsid w:val="008818CE"/>
    <w:rsid w:val="008A34AC"/>
    <w:rsid w:val="008A73B3"/>
    <w:rsid w:val="008C11A7"/>
    <w:rsid w:val="008C24CF"/>
    <w:rsid w:val="008E7E14"/>
    <w:rsid w:val="008F5E7C"/>
    <w:rsid w:val="0094090B"/>
    <w:rsid w:val="0095130D"/>
    <w:rsid w:val="00961F43"/>
    <w:rsid w:val="00964A9F"/>
    <w:rsid w:val="0097524E"/>
    <w:rsid w:val="0098037D"/>
    <w:rsid w:val="009A398E"/>
    <w:rsid w:val="009B0CC8"/>
    <w:rsid w:val="009B15AE"/>
    <w:rsid w:val="009C0DE8"/>
    <w:rsid w:val="009C1685"/>
    <w:rsid w:val="009E6417"/>
    <w:rsid w:val="00A037C4"/>
    <w:rsid w:val="00A309B4"/>
    <w:rsid w:val="00A505F2"/>
    <w:rsid w:val="00A568A4"/>
    <w:rsid w:val="00A60038"/>
    <w:rsid w:val="00A839F3"/>
    <w:rsid w:val="00AB1651"/>
    <w:rsid w:val="00AB58C3"/>
    <w:rsid w:val="00AD2247"/>
    <w:rsid w:val="00AF0EA5"/>
    <w:rsid w:val="00B01FAE"/>
    <w:rsid w:val="00B0660C"/>
    <w:rsid w:val="00B11FF2"/>
    <w:rsid w:val="00B36045"/>
    <w:rsid w:val="00B94566"/>
    <w:rsid w:val="00B950BC"/>
    <w:rsid w:val="00BB6E04"/>
    <w:rsid w:val="00C015B1"/>
    <w:rsid w:val="00C17907"/>
    <w:rsid w:val="00C31C39"/>
    <w:rsid w:val="00C465AA"/>
    <w:rsid w:val="00C47C7F"/>
    <w:rsid w:val="00C638F6"/>
    <w:rsid w:val="00C74C30"/>
    <w:rsid w:val="00C83D24"/>
    <w:rsid w:val="00D13C61"/>
    <w:rsid w:val="00D23B53"/>
    <w:rsid w:val="00D266E5"/>
    <w:rsid w:val="00D55027"/>
    <w:rsid w:val="00D81602"/>
    <w:rsid w:val="00DA5B9B"/>
    <w:rsid w:val="00DF31C7"/>
    <w:rsid w:val="00DF6D61"/>
    <w:rsid w:val="00E148C1"/>
    <w:rsid w:val="00E46F5F"/>
    <w:rsid w:val="00E57854"/>
    <w:rsid w:val="00E919AE"/>
    <w:rsid w:val="00E958E3"/>
    <w:rsid w:val="00EC7670"/>
    <w:rsid w:val="00EE5C76"/>
    <w:rsid w:val="00EE636D"/>
    <w:rsid w:val="00EF4C9D"/>
    <w:rsid w:val="00F123FB"/>
    <w:rsid w:val="00F132F5"/>
    <w:rsid w:val="00F14B14"/>
    <w:rsid w:val="00F4542C"/>
    <w:rsid w:val="00F46AD9"/>
    <w:rsid w:val="00F50329"/>
    <w:rsid w:val="00F641F6"/>
    <w:rsid w:val="00F950D0"/>
    <w:rsid w:val="00FC3337"/>
    <w:rsid w:val="00FE05F2"/>
    <w:rsid w:val="00FE1BCD"/>
    <w:rsid w:val="00FE6780"/>
    <w:rsid w:val="00FE6F46"/>
    <w:rsid w:val="00FF20E6"/>
    <w:rsid w:val="02C0135D"/>
    <w:rsid w:val="02F86779"/>
    <w:rsid w:val="03404493"/>
    <w:rsid w:val="04256BA0"/>
    <w:rsid w:val="04D7049F"/>
    <w:rsid w:val="05364D89"/>
    <w:rsid w:val="05913981"/>
    <w:rsid w:val="05D34775"/>
    <w:rsid w:val="061D0CB5"/>
    <w:rsid w:val="0620235A"/>
    <w:rsid w:val="071D3C4E"/>
    <w:rsid w:val="08534A4C"/>
    <w:rsid w:val="0B64129D"/>
    <w:rsid w:val="0C11644A"/>
    <w:rsid w:val="0C6C7243"/>
    <w:rsid w:val="0FD76581"/>
    <w:rsid w:val="100D0ECA"/>
    <w:rsid w:val="105E427C"/>
    <w:rsid w:val="10A145BA"/>
    <w:rsid w:val="11162294"/>
    <w:rsid w:val="128C7DEB"/>
    <w:rsid w:val="12927634"/>
    <w:rsid w:val="12C772AB"/>
    <w:rsid w:val="13271661"/>
    <w:rsid w:val="13481DE0"/>
    <w:rsid w:val="134D553D"/>
    <w:rsid w:val="13F35552"/>
    <w:rsid w:val="149C4911"/>
    <w:rsid w:val="14CE4C6C"/>
    <w:rsid w:val="17465999"/>
    <w:rsid w:val="175E3CFD"/>
    <w:rsid w:val="19373E64"/>
    <w:rsid w:val="1954439D"/>
    <w:rsid w:val="19DF45AE"/>
    <w:rsid w:val="1A596813"/>
    <w:rsid w:val="1AD86069"/>
    <w:rsid w:val="1C20520A"/>
    <w:rsid w:val="1C6C450A"/>
    <w:rsid w:val="1CE04199"/>
    <w:rsid w:val="1DEC52ED"/>
    <w:rsid w:val="1F0C54A8"/>
    <w:rsid w:val="1FF02946"/>
    <w:rsid w:val="21902632"/>
    <w:rsid w:val="21A734D8"/>
    <w:rsid w:val="2253194F"/>
    <w:rsid w:val="225E3F65"/>
    <w:rsid w:val="22D2163F"/>
    <w:rsid w:val="230049F7"/>
    <w:rsid w:val="23733AA6"/>
    <w:rsid w:val="24DB1721"/>
    <w:rsid w:val="253C5676"/>
    <w:rsid w:val="26E05A92"/>
    <w:rsid w:val="275E4A4D"/>
    <w:rsid w:val="27B0109B"/>
    <w:rsid w:val="296B2EC9"/>
    <w:rsid w:val="299B5845"/>
    <w:rsid w:val="2B7B7F77"/>
    <w:rsid w:val="2C13673D"/>
    <w:rsid w:val="2CC413E2"/>
    <w:rsid w:val="2D0D7D18"/>
    <w:rsid w:val="2ECA1B66"/>
    <w:rsid w:val="2F2B28F9"/>
    <w:rsid w:val="2FC13683"/>
    <w:rsid w:val="30073ABF"/>
    <w:rsid w:val="30916224"/>
    <w:rsid w:val="31134947"/>
    <w:rsid w:val="3166515D"/>
    <w:rsid w:val="31887D1C"/>
    <w:rsid w:val="32510B78"/>
    <w:rsid w:val="32756965"/>
    <w:rsid w:val="32BA7599"/>
    <w:rsid w:val="33B540F5"/>
    <w:rsid w:val="33B71CA0"/>
    <w:rsid w:val="33C502A0"/>
    <w:rsid w:val="341116DC"/>
    <w:rsid w:val="34D01D12"/>
    <w:rsid w:val="356026E6"/>
    <w:rsid w:val="35661288"/>
    <w:rsid w:val="360D5FB1"/>
    <w:rsid w:val="3674216A"/>
    <w:rsid w:val="37865F13"/>
    <w:rsid w:val="37C76EA0"/>
    <w:rsid w:val="38445F77"/>
    <w:rsid w:val="3A4236B8"/>
    <w:rsid w:val="3BAB02B8"/>
    <w:rsid w:val="3BF21AC7"/>
    <w:rsid w:val="3D5B544A"/>
    <w:rsid w:val="3E995BBF"/>
    <w:rsid w:val="3EB82729"/>
    <w:rsid w:val="3F4C03CA"/>
    <w:rsid w:val="3F5F3519"/>
    <w:rsid w:val="4093314D"/>
    <w:rsid w:val="40B82BB4"/>
    <w:rsid w:val="417D60D3"/>
    <w:rsid w:val="418807D8"/>
    <w:rsid w:val="4435507B"/>
    <w:rsid w:val="45B538C9"/>
    <w:rsid w:val="46F732D9"/>
    <w:rsid w:val="477E4DC2"/>
    <w:rsid w:val="481E32BC"/>
    <w:rsid w:val="4955273D"/>
    <w:rsid w:val="49B8354C"/>
    <w:rsid w:val="49FC1D63"/>
    <w:rsid w:val="4A443E36"/>
    <w:rsid w:val="4A667FF3"/>
    <w:rsid w:val="4A6904A5"/>
    <w:rsid w:val="4A987CDE"/>
    <w:rsid w:val="4ABB3E42"/>
    <w:rsid w:val="4B730622"/>
    <w:rsid w:val="4B897627"/>
    <w:rsid w:val="4C6A25CC"/>
    <w:rsid w:val="4D7C4E47"/>
    <w:rsid w:val="4E3B1D6D"/>
    <w:rsid w:val="4FB70C06"/>
    <w:rsid w:val="53BB6AF4"/>
    <w:rsid w:val="54C77FF5"/>
    <w:rsid w:val="557F339A"/>
    <w:rsid w:val="55FB7BEA"/>
    <w:rsid w:val="561E3108"/>
    <w:rsid w:val="5692685E"/>
    <w:rsid w:val="56FBD488"/>
    <w:rsid w:val="570F30D6"/>
    <w:rsid w:val="5749487F"/>
    <w:rsid w:val="57D8796C"/>
    <w:rsid w:val="59012EF2"/>
    <w:rsid w:val="595E20F3"/>
    <w:rsid w:val="5A5274A4"/>
    <w:rsid w:val="5AC93F9C"/>
    <w:rsid w:val="5B7E7C0D"/>
    <w:rsid w:val="5BDA59A5"/>
    <w:rsid w:val="5D812854"/>
    <w:rsid w:val="5E52141F"/>
    <w:rsid w:val="5EFF3BB3"/>
    <w:rsid w:val="5FFF9B1E"/>
    <w:rsid w:val="60B847DE"/>
    <w:rsid w:val="60D20963"/>
    <w:rsid w:val="62151A16"/>
    <w:rsid w:val="625B6D06"/>
    <w:rsid w:val="63DC3CC7"/>
    <w:rsid w:val="64400256"/>
    <w:rsid w:val="65FE2CB0"/>
    <w:rsid w:val="663014BE"/>
    <w:rsid w:val="6667627F"/>
    <w:rsid w:val="673B22E5"/>
    <w:rsid w:val="67530DBD"/>
    <w:rsid w:val="68C3704C"/>
    <w:rsid w:val="68E86509"/>
    <w:rsid w:val="69225DE4"/>
    <w:rsid w:val="6A2544F3"/>
    <w:rsid w:val="6B466FAF"/>
    <w:rsid w:val="6C18605E"/>
    <w:rsid w:val="6D9800D4"/>
    <w:rsid w:val="6E1E60FD"/>
    <w:rsid w:val="6E4F6A92"/>
    <w:rsid w:val="6E8B2124"/>
    <w:rsid w:val="6FE41535"/>
    <w:rsid w:val="714B15D8"/>
    <w:rsid w:val="727367B7"/>
    <w:rsid w:val="729A0448"/>
    <w:rsid w:val="734733B0"/>
    <w:rsid w:val="73497518"/>
    <w:rsid w:val="73AA6208"/>
    <w:rsid w:val="74214588"/>
    <w:rsid w:val="744C792B"/>
    <w:rsid w:val="775F730A"/>
    <w:rsid w:val="776B5CAF"/>
    <w:rsid w:val="78CC6C21"/>
    <w:rsid w:val="79B6503D"/>
    <w:rsid w:val="7AD03FB3"/>
    <w:rsid w:val="7B5D5BC7"/>
    <w:rsid w:val="7BFA6AF7"/>
    <w:rsid w:val="7C8B2AF0"/>
    <w:rsid w:val="7CD8233B"/>
    <w:rsid w:val="AD5FAE36"/>
    <w:rsid w:val="ADE746E1"/>
    <w:rsid w:val="B75D688B"/>
    <w:rsid w:val="BEECD49F"/>
    <w:rsid w:val="CFFF975A"/>
    <w:rsid w:val="E7A57069"/>
    <w:rsid w:val="EE6E4444"/>
    <w:rsid w:val="FFBFC5D0"/>
    <w:rsid w:val="FFCFA3B7"/>
    <w:rsid w:val="FFFAD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ody Text"/>
    <w:basedOn w:val="1"/>
    <w:qFormat/>
    <w:uiPriority w:val="0"/>
    <w:pPr>
      <w:spacing w:before="100" w:after="100" w:afterLines="0" w:afterAutospacing="0" w:line="300" w:lineRule="auto"/>
      <w:ind w:firstLine="1124" w:firstLineChars="200"/>
    </w:pPr>
    <w:rPr>
      <w:rFonts w:ascii="Times New Roman" w:hAnsi="Times New Roman"/>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0"/>
    <w:semiHidden/>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FollowedHyperlink"/>
    <w:basedOn w:val="10"/>
    <w:autoRedefine/>
    <w:semiHidden/>
    <w:unhideWhenUsed/>
    <w:qFormat/>
    <w:uiPriority w:val="99"/>
    <w:rPr>
      <w:color w:val="800080"/>
      <w:u w:val="single"/>
    </w:rPr>
  </w:style>
  <w:style w:type="character" w:styleId="13">
    <w:name w:val="Hyperlink"/>
    <w:basedOn w:val="10"/>
    <w:autoRedefine/>
    <w:unhideWhenUsed/>
    <w:qFormat/>
    <w:uiPriority w:val="99"/>
    <w:rPr>
      <w:color w:val="0000FF"/>
      <w:u w:val="single"/>
    </w:rPr>
  </w:style>
  <w:style w:type="character" w:styleId="14">
    <w:name w:val="annotation reference"/>
    <w:basedOn w:val="10"/>
    <w:autoRedefine/>
    <w:semiHidden/>
    <w:unhideWhenUsed/>
    <w:qFormat/>
    <w:uiPriority w:val="99"/>
    <w:rPr>
      <w:sz w:val="21"/>
      <w:szCs w:val="21"/>
    </w:rPr>
  </w:style>
  <w:style w:type="character" w:customStyle="1" w:styleId="15">
    <w:name w:val="页眉 Char"/>
    <w:basedOn w:val="10"/>
    <w:link w:val="5"/>
    <w:autoRedefine/>
    <w:qFormat/>
    <w:uiPriority w:val="99"/>
    <w:rPr>
      <w:sz w:val="18"/>
      <w:szCs w:val="18"/>
    </w:rPr>
  </w:style>
  <w:style w:type="character" w:customStyle="1" w:styleId="16">
    <w:name w:val="页脚 Char"/>
    <w:basedOn w:val="10"/>
    <w:link w:val="4"/>
    <w:autoRedefine/>
    <w:qFormat/>
    <w:uiPriority w:val="99"/>
    <w:rPr>
      <w:sz w:val="18"/>
      <w:szCs w:val="18"/>
    </w:rPr>
  </w:style>
  <w:style w:type="paragraph" w:styleId="17">
    <w:name w:val="List Paragraph"/>
    <w:basedOn w:val="1"/>
    <w:autoRedefine/>
    <w:qFormat/>
    <w:uiPriority w:val="34"/>
    <w:pPr>
      <w:ind w:firstLine="420" w:firstLineChars="200"/>
    </w:pPr>
  </w:style>
  <w:style w:type="character" w:customStyle="1" w:styleId="18">
    <w:name w:val="未处理的提及1"/>
    <w:basedOn w:val="10"/>
    <w:autoRedefine/>
    <w:semiHidden/>
    <w:unhideWhenUsed/>
    <w:qFormat/>
    <w:uiPriority w:val="99"/>
    <w:rPr>
      <w:color w:val="605E5C"/>
      <w:shd w:val="clear" w:color="auto" w:fill="E1DFDD"/>
    </w:rPr>
  </w:style>
  <w:style w:type="character" w:customStyle="1" w:styleId="19">
    <w:name w:val="批注文字 Char"/>
    <w:basedOn w:val="10"/>
    <w:link w:val="2"/>
    <w:autoRedefine/>
    <w:semiHidden/>
    <w:qFormat/>
    <w:uiPriority w:val="99"/>
    <w:rPr>
      <w:kern w:val="2"/>
      <w:sz w:val="21"/>
      <w:szCs w:val="22"/>
    </w:rPr>
  </w:style>
  <w:style w:type="character" w:customStyle="1" w:styleId="20">
    <w:name w:val="批注主题 Char"/>
    <w:basedOn w:val="19"/>
    <w:link w:val="7"/>
    <w:autoRedefine/>
    <w:semiHidden/>
    <w:qFormat/>
    <w:uiPriority w:val="99"/>
    <w:rPr>
      <w:b/>
      <w:bCs/>
      <w:kern w:val="2"/>
      <w:sz w:val="21"/>
      <w:szCs w:val="22"/>
    </w:rPr>
  </w:style>
  <w:style w:type="character" w:customStyle="1" w:styleId="21">
    <w:name w:val="未处理的提及2"/>
    <w:basedOn w:val="10"/>
    <w:autoRedefine/>
    <w:semiHidden/>
    <w:unhideWhenUsed/>
    <w:qFormat/>
    <w:uiPriority w:val="99"/>
    <w:rPr>
      <w:color w:val="605E5C"/>
      <w:shd w:val="clear" w:color="auto" w:fill="E1DFDD"/>
    </w:rPr>
  </w:style>
  <w:style w:type="character" w:customStyle="1" w:styleId="22">
    <w:name w:val="Unresolved Mention"/>
    <w:basedOn w:val="10"/>
    <w:autoRedefine/>
    <w:semiHidden/>
    <w:unhideWhenUsed/>
    <w:qFormat/>
    <w:uiPriority w:val="99"/>
    <w:rPr>
      <w:color w:val="605E5C"/>
      <w:shd w:val="clear" w:color="auto" w:fill="E1DFDD"/>
    </w:rPr>
  </w:style>
  <w:style w:type="character" w:customStyle="1" w:styleId="23">
    <w:name w:val="font31"/>
    <w:autoRedefine/>
    <w:qFormat/>
    <w:uiPriority w:val="0"/>
    <w:rPr>
      <w:rFonts w:hint="default" w:ascii="Times New Roman" w:hAnsi="Times New Roman" w:cs="Times New Roman"/>
      <w:color w:val="000000"/>
      <w:sz w:val="18"/>
      <w:szCs w:val="18"/>
      <w:u w:val="none"/>
    </w:r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6</Pages>
  <Words>6053</Words>
  <Characters>7410</Characters>
  <Lines>21</Lines>
  <Paragraphs>6</Paragraphs>
  <TotalTime>12</TotalTime>
  <ScaleCrop>false</ScaleCrop>
  <LinksUpToDate>false</LinksUpToDate>
  <CharactersWithSpaces>9219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2021-12-09T23:41:00Z</dcterms:created>
  <dc:creator>Sky123.Org</dc:creator>
  <cp:lastModifiedBy>六岭公园</cp:lastModifiedBy>
  <cp:lastPrinted>2025-01-08T11:30:00Z</cp:lastPrinted>
  <dcterms:modified xsi:type="dcterms:W3CDTF">2025-01-24T12:54:33Z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EB6FB822D02C4468BC87A80E7D363AFC_13</vt:lpwstr>
  </property>
  <property fmtid="{D5CDD505-2E9C-101B-9397-08002B2CF9AE}" pid="4" name="KSOTemplateDocerSaveRecord">
    <vt:lpwstr>eyJoZGlkIjoiMzEwNTM5NzYwMDRjMzkwZTVkZjY2ODkwMGIxNGU0OTUiLCJ1c2VySWQiOiIyNjY2Nzg2MzMifQ==</vt:lpwstr>
  </property>
</Properties>
</file>